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Default="00320FC3" w:rsidP="00DB1081">
      <w:pPr>
        <w:tabs>
          <w:tab w:val="left" w:pos="2323"/>
        </w:tabs>
        <w:jc w:val="center"/>
        <w:outlineLvl w:val="0"/>
        <w:rPr>
          <w:sz w:val="28"/>
          <w:szCs w:val="28"/>
        </w:rPr>
      </w:pPr>
      <w:r>
        <w:rPr>
          <w:noProof/>
          <w:sz w:val="28"/>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-3175</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1164CD" w:rsidRDefault="00DB1081" w:rsidP="00DB1081">
      <w:pPr>
        <w:tabs>
          <w:tab w:val="left" w:pos="2323"/>
        </w:tabs>
        <w:jc w:val="center"/>
        <w:outlineLvl w:val="0"/>
        <w:rPr>
          <w:b/>
        </w:rPr>
      </w:pPr>
    </w:p>
    <w:p w:rsidR="00DB1081" w:rsidRPr="001164CD" w:rsidRDefault="00DB1081" w:rsidP="00DB1081">
      <w:pPr>
        <w:tabs>
          <w:tab w:val="left" w:pos="2323"/>
        </w:tabs>
        <w:jc w:val="center"/>
        <w:outlineLvl w:val="0"/>
        <w:rPr>
          <w:b/>
        </w:rPr>
      </w:pPr>
    </w:p>
    <w:p w:rsidR="00DB1081" w:rsidRPr="001164CD" w:rsidRDefault="00DB1081" w:rsidP="00DB1081">
      <w:pPr>
        <w:jc w:val="center"/>
        <w:rPr>
          <w:b/>
          <w:sz w:val="22"/>
          <w:szCs w:val="22"/>
        </w:rPr>
      </w:pPr>
      <w:r w:rsidRPr="001164CD">
        <w:rPr>
          <w:b/>
          <w:sz w:val="22"/>
          <w:szCs w:val="22"/>
        </w:rPr>
        <w:t>РЕВИЗИОННАЯ КОМИССИЯ КАРГАТСКОГО РАЙОНА</w:t>
      </w:r>
    </w:p>
    <w:p w:rsidR="00DB1081" w:rsidRPr="001164CD" w:rsidRDefault="00DB1081" w:rsidP="00DB1081">
      <w:pPr>
        <w:jc w:val="center"/>
        <w:rPr>
          <w:b/>
          <w:sz w:val="22"/>
          <w:szCs w:val="22"/>
        </w:rPr>
      </w:pPr>
      <w:r w:rsidRPr="001164CD">
        <w:rPr>
          <w:b/>
          <w:sz w:val="22"/>
          <w:szCs w:val="22"/>
        </w:rPr>
        <w:t>НОВОСИБИРСКОЙ ОБЛАСТИ</w:t>
      </w:r>
    </w:p>
    <w:p w:rsidR="00DB1081" w:rsidRPr="001B728A" w:rsidRDefault="00DB1081" w:rsidP="00DB1081">
      <w:pPr>
        <w:jc w:val="center"/>
        <w:rPr>
          <w:sz w:val="20"/>
          <w:szCs w:val="20"/>
        </w:rPr>
      </w:pPr>
    </w:p>
    <w:p w:rsidR="00DB1081" w:rsidRPr="001B728A" w:rsidRDefault="00DB1081" w:rsidP="00DB1081">
      <w:pPr>
        <w:jc w:val="center"/>
        <w:rPr>
          <w:sz w:val="20"/>
          <w:szCs w:val="20"/>
        </w:rPr>
      </w:pPr>
    </w:p>
    <w:p w:rsidR="00DB1081" w:rsidRPr="0029403D" w:rsidRDefault="00DB1081" w:rsidP="00DB1081">
      <w:pPr>
        <w:jc w:val="center"/>
        <w:rPr>
          <w:b/>
        </w:rPr>
      </w:pPr>
      <w:r w:rsidRPr="0029403D">
        <w:rPr>
          <w:b/>
        </w:rPr>
        <w:t xml:space="preserve">ЭКСПЕРТНОЕ ЗАКЛЮЧЕНИЕ </w:t>
      </w:r>
    </w:p>
    <w:p w:rsidR="00C666B4"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Default="00804797" w:rsidP="001E60F9">
      <w:pPr>
        <w:pStyle w:val="ac"/>
        <w:ind w:firstLine="0"/>
        <w:rPr>
          <w:sz w:val="24"/>
          <w:szCs w:val="24"/>
        </w:rPr>
      </w:pPr>
      <w:r w:rsidRPr="0029403D">
        <w:rPr>
          <w:sz w:val="24"/>
          <w:szCs w:val="24"/>
        </w:rPr>
        <w:t>Верх-Каргатского сельсовета Каргатского района Новосибирской области</w:t>
      </w:r>
      <w:r w:rsidR="001E60F9" w:rsidRPr="0029403D">
        <w:rPr>
          <w:sz w:val="24"/>
          <w:szCs w:val="24"/>
        </w:rPr>
        <w:t xml:space="preserve"> за </w:t>
      </w:r>
      <w:r w:rsidR="001043B8">
        <w:rPr>
          <w:sz w:val="24"/>
          <w:szCs w:val="24"/>
        </w:rPr>
        <w:t>2015</w:t>
      </w:r>
      <w:r w:rsidR="001E60F9" w:rsidRPr="0029403D">
        <w:rPr>
          <w:sz w:val="24"/>
          <w:szCs w:val="24"/>
        </w:rPr>
        <w:t xml:space="preserve"> год</w:t>
      </w:r>
    </w:p>
    <w:p w:rsidR="007F2587" w:rsidRPr="001B728A" w:rsidRDefault="007F2587" w:rsidP="001E60F9">
      <w:pPr>
        <w:pStyle w:val="ac"/>
        <w:ind w:firstLine="0"/>
        <w:rPr>
          <w:sz w:val="20"/>
        </w:rPr>
      </w:pPr>
    </w:p>
    <w:p w:rsidR="00C666B4" w:rsidRDefault="00C666B4" w:rsidP="007F2587">
      <w:pPr>
        <w:pStyle w:val="ac"/>
        <w:ind w:firstLine="0"/>
        <w:jc w:val="right"/>
        <w:rPr>
          <w:b w:val="0"/>
          <w:sz w:val="24"/>
          <w:szCs w:val="24"/>
        </w:rPr>
      </w:pPr>
    </w:p>
    <w:p w:rsidR="007F2587" w:rsidRPr="007F2587" w:rsidRDefault="00C666B4" w:rsidP="007F2587">
      <w:pPr>
        <w:pStyle w:val="ac"/>
        <w:ind w:firstLine="0"/>
        <w:jc w:val="right"/>
        <w:rPr>
          <w:b w:val="0"/>
          <w:sz w:val="24"/>
          <w:szCs w:val="24"/>
        </w:rPr>
      </w:pPr>
      <w:r>
        <w:rPr>
          <w:b w:val="0"/>
          <w:sz w:val="24"/>
          <w:szCs w:val="24"/>
        </w:rPr>
        <w:t>29</w:t>
      </w:r>
      <w:r w:rsidR="007F2587" w:rsidRPr="007F2587">
        <w:rPr>
          <w:b w:val="0"/>
          <w:sz w:val="24"/>
          <w:szCs w:val="24"/>
        </w:rPr>
        <w:t>.04.</w:t>
      </w:r>
      <w:r w:rsidR="001043B8">
        <w:rPr>
          <w:b w:val="0"/>
          <w:sz w:val="24"/>
          <w:szCs w:val="24"/>
        </w:rPr>
        <w:t>2016</w:t>
      </w:r>
    </w:p>
    <w:p w:rsidR="00534C44" w:rsidRPr="001B728A" w:rsidRDefault="00534C44" w:rsidP="00415FD7">
      <w:pPr>
        <w:pStyle w:val="a4"/>
        <w:spacing w:after="0"/>
        <w:ind w:firstLine="567"/>
        <w:jc w:val="both"/>
        <w:rPr>
          <w:sz w:val="20"/>
          <w:szCs w:val="20"/>
        </w:rPr>
      </w:pPr>
    </w:p>
    <w:p w:rsidR="00080C19" w:rsidRPr="00FE52C5" w:rsidRDefault="00080C19" w:rsidP="008C68A7">
      <w:pPr>
        <w:pStyle w:val="a4"/>
        <w:spacing w:after="0"/>
        <w:ind w:firstLine="567"/>
        <w:jc w:val="both"/>
      </w:pPr>
      <w:proofErr w:type="gramStart"/>
      <w:r w:rsidRPr="00FE52C5">
        <w:t>Экспертное заключени</w:t>
      </w:r>
      <w:bookmarkStart w:id="0" w:name="_GoBack"/>
      <w:bookmarkEnd w:id="0"/>
      <w:r w:rsidRPr="00FE52C5">
        <w:t xml:space="preserve">е </w:t>
      </w:r>
      <w:r w:rsidR="00506301" w:rsidRPr="00FE52C5">
        <w:t xml:space="preserve">Ревизионной </w:t>
      </w:r>
      <w:r w:rsidR="00A17EE6" w:rsidRPr="00FE52C5">
        <w:t>комиссии</w:t>
      </w:r>
      <w:r w:rsidR="00506301" w:rsidRPr="00FE52C5">
        <w:t xml:space="preserve"> </w:t>
      </w:r>
      <w:r w:rsidR="00A17EE6" w:rsidRPr="00FE52C5">
        <w:t>Каргатского</w:t>
      </w:r>
      <w:r w:rsidR="00506301" w:rsidRPr="00FE52C5">
        <w:t xml:space="preserve"> района</w:t>
      </w:r>
      <w:r w:rsidR="00A17EE6" w:rsidRPr="00FE52C5">
        <w:t xml:space="preserve"> </w:t>
      </w:r>
      <w:r w:rsidR="001F1C1B" w:rsidRPr="00FE52C5">
        <w:t xml:space="preserve">по результатам внешней проверки годового отчёта об исполнении бюджета Верх-Каргатского сельсовета Каргатского района Новосибирской области за </w:t>
      </w:r>
      <w:r w:rsidR="001043B8">
        <w:t>2015</w:t>
      </w:r>
      <w:r w:rsidR="001F1C1B" w:rsidRPr="00FE52C5">
        <w:t xml:space="preserve"> год</w:t>
      </w:r>
      <w:r w:rsidR="00E2681F" w:rsidRPr="00FE52C5">
        <w:t xml:space="preserve"> (далее </w:t>
      </w:r>
      <w:r w:rsidR="007F2587" w:rsidRPr="00FE52C5">
        <w:t xml:space="preserve">– </w:t>
      </w:r>
      <w:r w:rsidR="00135AAE" w:rsidRPr="00FE52C5">
        <w:t>о</w:t>
      </w:r>
      <w:r w:rsidR="00E2681F" w:rsidRPr="00FE52C5">
        <w:t>тчёт</w:t>
      </w:r>
      <w:r w:rsidR="00A17EE6" w:rsidRPr="00FE52C5">
        <w:t xml:space="preserve"> </w:t>
      </w:r>
      <w:r w:rsidR="00E2681F" w:rsidRPr="00FE52C5">
        <w:t>об исполнении</w:t>
      </w:r>
      <w:r w:rsidR="004812A7" w:rsidRPr="00FE52C5">
        <w:t xml:space="preserve"> мес</w:t>
      </w:r>
      <w:r w:rsidR="004812A7" w:rsidRPr="00FE52C5">
        <w:t>т</w:t>
      </w:r>
      <w:r w:rsidR="004812A7" w:rsidRPr="00FE52C5">
        <w:t>ного</w:t>
      </w:r>
      <w:r w:rsidR="00E2681F" w:rsidRPr="00FE52C5">
        <w:t xml:space="preserve"> бюджета за </w:t>
      </w:r>
      <w:r w:rsidR="001043B8">
        <w:t>2015</w:t>
      </w:r>
      <w:r w:rsidR="00E2681F" w:rsidRPr="00FE52C5">
        <w:t xml:space="preserve"> год) </w:t>
      </w:r>
      <w:r w:rsidRPr="00FE52C5">
        <w:t>подготовлено в соответстви</w:t>
      </w:r>
      <w:r w:rsidR="004760D4" w:rsidRPr="00FE52C5">
        <w:t>е</w:t>
      </w:r>
      <w:r w:rsidR="005B09AA" w:rsidRPr="00FE52C5">
        <w:t xml:space="preserve"> стать</w:t>
      </w:r>
      <w:r w:rsidR="004760D4" w:rsidRPr="00FE52C5">
        <w:t>е</w:t>
      </w:r>
      <w:r w:rsidR="005B09AA" w:rsidRPr="00FE52C5">
        <w:t xml:space="preserve"> 264.4 Бюджетного кодекса </w:t>
      </w:r>
      <w:r w:rsidRPr="00FE52C5">
        <w:t>Р</w:t>
      </w:r>
      <w:r w:rsidR="00A17EE6" w:rsidRPr="00FE52C5">
        <w:t xml:space="preserve">оссийской </w:t>
      </w:r>
      <w:r w:rsidRPr="00FE52C5">
        <w:t>Ф</w:t>
      </w:r>
      <w:r w:rsidR="00A17EE6" w:rsidRPr="00FE52C5">
        <w:t>едерации</w:t>
      </w:r>
      <w:r w:rsidRPr="00FE52C5">
        <w:t xml:space="preserve"> (</w:t>
      </w:r>
      <w:r w:rsidR="00A17EE6" w:rsidRPr="00FE52C5">
        <w:t xml:space="preserve">далее – </w:t>
      </w:r>
      <w:r w:rsidRPr="00FE52C5">
        <w:t xml:space="preserve">БК РФ), </w:t>
      </w:r>
      <w:r w:rsidR="005B09AA" w:rsidRPr="00FE52C5">
        <w:t>стать</w:t>
      </w:r>
      <w:r w:rsidR="004760D4" w:rsidRPr="00FE52C5">
        <w:t>е</w:t>
      </w:r>
      <w:r w:rsidR="005B09AA" w:rsidRPr="00FE52C5">
        <w:t xml:space="preserve"> 53 Положения</w:t>
      </w:r>
      <w:r w:rsidR="005A1015" w:rsidRPr="00FE52C5">
        <w:t xml:space="preserve"> о</w:t>
      </w:r>
      <w:r w:rsidRPr="00FE52C5">
        <w:t xml:space="preserve"> бюджетном процессе</w:t>
      </w:r>
      <w:r w:rsidR="004043F8" w:rsidRPr="00FE52C5">
        <w:t xml:space="preserve"> и бюджетном устройстве в</w:t>
      </w:r>
      <w:r w:rsidR="005A1015" w:rsidRPr="00FE52C5">
        <w:t xml:space="preserve"> Верх-Каргатск</w:t>
      </w:r>
      <w:r w:rsidR="004043F8" w:rsidRPr="00FE52C5">
        <w:t>ом</w:t>
      </w:r>
      <w:r w:rsidR="005A1015" w:rsidRPr="00FE52C5">
        <w:t xml:space="preserve"> сельсовет</w:t>
      </w:r>
      <w:r w:rsidR="004043F8" w:rsidRPr="00FE52C5">
        <w:t>е</w:t>
      </w:r>
      <w:r w:rsidR="005A1015" w:rsidRPr="00FE52C5">
        <w:t xml:space="preserve"> Каргатского района </w:t>
      </w:r>
      <w:r w:rsidRPr="00FE52C5">
        <w:t>Новосибирской</w:t>
      </w:r>
      <w:proofErr w:type="gramEnd"/>
      <w:r w:rsidRPr="00FE52C5">
        <w:t xml:space="preserve"> </w:t>
      </w:r>
      <w:proofErr w:type="gramStart"/>
      <w:r w:rsidRPr="00FE52C5">
        <w:t>области</w:t>
      </w:r>
      <w:r w:rsidR="00CB6D47" w:rsidRPr="00FE52C5">
        <w:t>, утверждённ</w:t>
      </w:r>
      <w:r w:rsidR="004043F8" w:rsidRPr="00FE52C5">
        <w:t>ого</w:t>
      </w:r>
      <w:r w:rsidR="00CB6D47" w:rsidRPr="00FE52C5">
        <w:t xml:space="preserve"> решением </w:t>
      </w:r>
      <w:r w:rsidR="00D903F4" w:rsidRPr="00FE52C5">
        <w:t>4</w:t>
      </w:r>
      <w:r w:rsidR="00CB6D47" w:rsidRPr="00FE52C5">
        <w:t xml:space="preserve">-й сессии 4 созыва Совета депутатов Верх-Каргатского сельсовета Каргатского района Новосибирской области от </w:t>
      </w:r>
      <w:r w:rsidR="00D903F4" w:rsidRPr="00FE52C5">
        <w:t>02</w:t>
      </w:r>
      <w:r w:rsidR="00CB6D47" w:rsidRPr="00FE52C5">
        <w:t>.11.</w:t>
      </w:r>
      <w:r w:rsidR="007F2587" w:rsidRPr="00FE52C5">
        <w:t>201</w:t>
      </w:r>
      <w:r w:rsidR="004043F8" w:rsidRPr="00FE52C5">
        <w:t>0</w:t>
      </w:r>
      <w:r w:rsidR="00CB6D47" w:rsidRPr="00FE52C5">
        <w:t xml:space="preserve"> № 2</w:t>
      </w:r>
      <w:r w:rsidR="00D903F4" w:rsidRPr="00FE52C5">
        <w:t>1</w:t>
      </w:r>
      <w:r w:rsidRPr="00FE52C5">
        <w:t xml:space="preserve"> (</w:t>
      </w:r>
      <w:r w:rsidR="005A1015" w:rsidRPr="00FE52C5">
        <w:t>далее – Полож</w:t>
      </w:r>
      <w:r w:rsidR="005A1015" w:rsidRPr="00FE52C5">
        <w:t>е</w:t>
      </w:r>
      <w:r w:rsidR="005A1015" w:rsidRPr="00FE52C5">
        <w:t>ние о бюджетном процессе)</w:t>
      </w:r>
      <w:r w:rsidR="00350EC0" w:rsidRPr="00FE52C5">
        <w:t>, пункт</w:t>
      </w:r>
      <w:r w:rsidR="004760D4" w:rsidRPr="00FE52C5">
        <w:t>у</w:t>
      </w:r>
      <w:r w:rsidR="00350EC0" w:rsidRPr="00FE52C5">
        <w:t xml:space="preserve"> 3 статьи 4 Положения о Ревизионной комиссии Карга</w:t>
      </w:r>
      <w:r w:rsidR="00350EC0" w:rsidRPr="00FE52C5">
        <w:t>т</w:t>
      </w:r>
      <w:r w:rsidR="00350EC0" w:rsidRPr="00FE52C5">
        <w:t>ского района Новосибирской области, утверждённ</w:t>
      </w:r>
      <w:r w:rsidR="004043F8" w:rsidRPr="00FE52C5">
        <w:t>ого</w:t>
      </w:r>
      <w:r w:rsidR="00350EC0" w:rsidRPr="00FE52C5">
        <w:t xml:space="preserve"> решением 14 сессии 2 созыва Совета депутатов Каргатского района Новосибирской области от 23.11.</w:t>
      </w:r>
      <w:r w:rsidR="006F10F8" w:rsidRPr="00FE52C5">
        <w:t>2011</w:t>
      </w:r>
      <w:r w:rsidR="00350EC0" w:rsidRPr="00FE52C5">
        <w:t xml:space="preserve"> № 157, пункт</w:t>
      </w:r>
      <w:r w:rsidR="004760D4" w:rsidRPr="00FE52C5">
        <w:t>у</w:t>
      </w:r>
      <w:r w:rsidR="00350EC0" w:rsidRPr="00FE52C5">
        <w:t xml:space="preserve"> 1 С</w:t>
      </w:r>
      <w:r w:rsidR="00350EC0" w:rsidRPr="00FE52C5">
        <w:t>о</w:t>
      </w:r>
      <w:r w:rsidR="00350EC0" w:rsidRPr="00FE52C5">
        <w:t>глашения о передаче полномочий ревизионной комиссии Каргатского района</w:t>
      </w:r>
      <w:proofErr w:type="gramEnd"/>
      <w:r w:rsidR="00350EC0" w:rsidRPr="00FE52C5">
        <w:t xml:space="preserve"> от </w:t>
      </w:r>
      <w:r w:rsidR="00E957AE" w:rsidRPr="00FE52C5">
        <w:t>14.03.</w:t>
      </w:r>
      <w:r w:rsidR="001043B8">
        <w:t>2014</w:t>
      </w:r>
      <w:r w:rsidR="00350EC0" w:rsidRPr="00FE52C5">
        <w:t>, пункт</w:t>
      </w:r>
      <w:r w:rsidR="004760D4" w:rsidRPr="00FE52C5">
        <w:t>у</w:t>
      </w:r>
      <w:r w:rsidR="00350EC0" w:rsidRPr="00FE52C5">
        <w:t xml:space="preserve"> </w:t>
      </w:r>
      <w:r w:rsidR="006F10F8" w:rsidRPr="00FE52C5">
        <w:t>12</w:t>
      </w:r>
      <w:r w:rsidR="00350EC0" w:rsidRPr="00FE52C5">
        <w:t xml:space="preserve"> Плана работы Ревизионной комиссии Каргатского района</w:t>
      </w:r>
      <w:r w:rsidR="008234F3" w:rsidRPr="00FE52C5">
        <w:t xml:space="preserve"> на </w:t>
      </w:r>
      <w:r w:rsidR="001043B8">
        <w:t>2016</w:t>
      </w:r>
      <w:r w:rsidR="008234F3" w:rsidRPr="00FE52C5">
        <w:t xml:space="preserve"> год</w:t>
      </w:r>
      <w:r w:rsidR="00350EC0" w:rsidRPr="00FE52C5">
        <w:t>.</w:t>
      </w:r>
    </w:p>
    <w:p w:rsidR="001E60F9" w:rsidRPr="0029403D" w:rsidRDefault="001E60F9" w:rsidP="00592AB4">
      <w:pPr>
        <w:spacing w:before="60"/>
        <w:ind w:firstLine="567"/>
        <w:jc w:val="both"/>
      </w:pPr>
      <w:r w:rsidRPr="0029403D">
        <w:t>Отч</w:t>
      </w:r>
      <w:r w:rsidR="00726D20" w:rsidRPr="0029403D">
        <w:t>ё</w:t>
      </w:r>
      <w:r w:rsidRPr="0029403D">
        <w:t xml:space="preserve">т об исполнении </w:t>
      </w:r>
      <w:r w:rsidR="004812A7" w:rsidRPr="0029403D">
        <w:t xml:space="preserve">местного </w:t>
      </w:r>
      <w:r w:rsidRPr="0029403D">
        <w:t>бюджета</w:t>
      </w:r>
      <w:r w:rsidR="00264072" w:rsidRPr="0029403D">
        <w:t xml:space="preserve"> </w:t>
      </w:r>
      <w:r w:rsidR="00B07572" w:rsidRPr="0029403D">
        <w:t xml:space="preserve">за </w:t>
      </w:r>
      <w:r w:rsidR="001043B8">
        <w:t>2015</w:t>
      </w:r>
      <w:r w:rsidR="00B07572" w:rsidRPr="0029403D">
        <w:t xml:space="preserve"> год</w:t>
      </w:r>
      <w:r w:rsidRPr="0029403D">
        <w:t xml:space="preserve"> с пояснительной запиской и д</w:t>
      </w:r>
      <w:r w:rsidRPr="0029403D">
        <w:t>о</w:t>
      </w:r>
      <w:r w:rsidRPr="0029403D">
        <w:t xml:space="preserve">полнительными материалами поступил в </w:t>
      </w:r>
      <w:r w:rsidR="00F9129B" w:rsidRPr="0029403D">
        <w:t>Ревизионную комиссию</w:t>
      </w:r>
      <w:r w:rsidRPr="0029403D">
        <w:t xml:space="preserve"> в срок</w:t>
      </w:r>
      <w:r w:rsidR="0007269A" w:rsidRPr="0029403D">
        <w:t>,</w:t>
      </w:r>
      <w:r w:rsidRPr="0029403D">
        <w:t xml:space="preserve"> установленный </w:t>
      </w:r>
      <w:r w:rsidR="00A56263">
        <w:t xml:space="preserve">пунктом 3 </w:t>
      </w:r>
      <w:r w:rsidRPr="0029403D">
        <w:t>ст</w:t>
      </w:r>
      <w:r w:rsidR="00F57C56" w:rsidRPr="0029403D">
        <w:t>ать</w:t>
      </w:r>
      <w:r w:rsidR="00A56263">
        <w:t>и 264.4 БК РФ</w:t>
      </w:r>
      <w:r w:rsidRPr="0029403D">
        <w:t>.</w:t>
      </w:r>
    </w:p>
    <w:p w:rsidR="00BD3F00" w:rsidRPr="0029403D" w:rsidRDefault="00BD3F00" w:rsidP="00592AB4">
      <w:pPr>
        <w:spacing w:before="60"/>
        <w:ind w:firstLine="567"/>
        <w:jc w:val="both"/>
      </w:pPr>
      <w:r w:rsidRPr="0029403D">
        <w:t>В соответствие пункту 1 статьи 264.4 БК РФ:</w:t>
      </w:r>
    </w:p>
    <w:p w:rsidR="00BD3F00" w:rsidRDefault="00BD3F00" w:rsidP="00592AB4">
      <w:pPr>
        <w:autoSpaceDE w:val="0"/>
        <w:autoSpaceDN w:val="0"/>
        <w:adjustRightInd w:val="0"/>
        <w:spacing w:before="4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C219D" w:rsidRDefault="009C219D" w:rsidP="009C219D">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9C219D">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1043B8">
        <w:t>2015</w:t>
      </w:r>
      <w:r w:rsidR="00607E5A" w:rsidRPr="0029403D">
        <w:t xml:space="preserve"> году</w:t>
      </w:r>
    </w:p>
    <w:p w:rsidR="00F66D86" w:rsidRPr="0029403D" w:rsidRDefault="00F66D86" w:rsidP="007C6063">
      <w:pPr>
        <w:spacing w:before="60"/>
        <w:ind w:firstLine="567"/>
        <w:jc w:val="both"/>
      </w:pPr>
      <w:r w:rsidRPr="0029403D">
        <w:t>Площадь территории муниципального образования</w:t>
      </w:r>
      <w:r w:rsidR="002E13A6" w:rsidRPr="0029403D">
        <w:t xml:space="preserve"> составляет 89</w:t>
      </w:r>
      <w:r w:rsidR="00536FE3" w:rsidRPr="0029403D">
        <w:t>57</w:t>
      </w:r>
      <w:r w:rsidR="002E13A6" w:rsidRPr="0029403D">
        <w:t xml:space="preserve">6 </w:t>
      </w:r>
      <w:r w:rsidR="00536FE3" w:rsidRPr="0029403D">
        <w:t>га, из них сельх</w:t>
      </w:r>
      <w:r w:rsidR="00536FE3" w:rsidRPr="0029403D">
        <w:t>о</w:t>
      </w:r>
      <w:r w:rsidR="00536FE3" w:rsidRPr="0029403D">
        <w:t>зугодия – 38141 га или 42,6%.</w:t>
      </w:r>
    </w:p>
    <w:p w:rsidR="001043B8" w:rsidRPr="0029403D" w:rsidRDefault="001043B8" w:rsidP="001043B8">
      <w:pPr>
        <w:spacing w:before="60"/>
        <w:ind w:firstLine="567"/>
        <w:jc w:val="both"/>
      </w:pPr>
      <w:r w:rsidRPr="0029403D">
        <w:t>Площадь жилищного фонда – 14,</w:t>
      </w:r>
      <w:r>
        <w:t>7</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лищного фонда – 13,</w:t>
      </w:r>
      <w:r>
        <w:t>0</w:t>
      </w:r>
      <w:r w:rsidRPr="0029403D">
        <w:t xml:space="preserve"> тыс. м</w:t>
      </w:r>
      <w:r w:rsidRPr="0029403D">
        <w:rPr>
          <w:vertAlign w:val="superscript"/>
        </w:rPr>
        <w:t>2</w:t>
      </w:r>
      <w:r w:rsidRPr="0029403D">
        <w:t>.</w:t>
      </w:r>
    </w:p>
    <w:p w:rsidR="002E13A6" w:rsidRPr="0029403D" w:rsidRDefault="000F3980" w:rsidP="007C6063">
      <w:pPr>
        <w:spacing w:before="60"/>
        <w:ind w:firstLine="567"/>
        <w:jc w:val="both"/>
      </w:pPr>
      <w:r w:rsidRPr="0029403D">
        <w:t>В состав Верх-Каргатского сельсовета входят два населённых пункта – с</w:t>
      </w:r>
      <w:r w:rsidR="008158EE" w:rsidRPr="0029403D">
        <w:t>ело</w:t>
      </w:r>
      <w:r w:rsidRPr="0029403D">
        <w:t xml:space="preserve"> Верх-Каргат и п</w:t>
      </w:r>
      <w:r w:rsidR="008158EE" w:rsidRPr="0029403D">
        <w:t>осёлок</w:t>
      </w:r>
      <w:r w:rsidRPr="0029403D">
        <w:t xml:space="preserve"> Натальинский.</w:t>
      </w:r>
    </w:p>
    <w:p w:rsidR="006366AE" w:rsidRPr="0029403D" w:rsidRDefault="006366AE" w:rsidP="007C6063">
      <w:pPr>
        <w:spacing w:before="60"/>
        <w:ind w:firstLine="567"/>
        <w:jc w:val="both"/>
      </w:pPr>
      <w:r w:rsidRPr="0029403D">
        <w:t xml:space="preserve">На территории муниципального образования одно промышленное предприятие, </w:t>
      </w:r>
      <w:r w:rsidR="003B410A">
        <w:t>одно</w:t>
      </w:r>
      <w:r w:rsidRPr="0029403D">
        <w:t xml:space="preserve"> сельскохозяйственн</w:t>
      </w:r>
      <w:r w:rsidR="003B410A">
        <w:t>ое</w:t>
      </w:r>
      <w:r w:rsidRPr="0029403D">
        <w:t xml:space="preserve"> предприяти</w:t>
      </w:r>
      <w:r w:rsidR="003B410A">
        <w:t>е</w:t>
      </w:r>
      <w:r w:rsidRPr="0029403D">
        <w:t xml:space="preserve"> и два крестьянско-фермерских хозяйства</w:t>
      </w:r>
      <w:r w:rsidR="00D60C3B" w:rsidRPr="0029403D">
        <w:t>.</w:t>
      </w:r>
    </w:p>
    <w:p w:rsidR="00607E5A" w:rsidRPr="0029403D" w:rsidRDefault="00034F90" w:rsidP="007C6063">
      <w:pPr>
        <w:spacing w:before="60"/>
        <w:ind w:firstLine="567"/>
        <w:jc w:val="both"/>
      </w:pPr>
      <w:r w:rsidRPr="0029403D">
        <w:t xml:space="preserve">В течение </w:t>
      </w:r>
      <w:r w:rsidR="001043B8">
        <w:t>2013</w:t>
      </w:r>
      <w:r w:rsidRPr="0029403D">
        <w:t>-</w:t>
      </w:r>
      <w:r w:rsidR="001043B8">
        <w:t>2015</w:t>
      </w:r>
      <w:r w:rsidRPr="0029403D">
        <w:t xml:space="preserve"> годов продолжает уменьшат</w:t>
      </w:r>
      <w:r w:rsidR="002C7FCA">
        <w:t xml:space="preserve">ься численность населения, с </w:t>
      </w:r>
      <w:r w:rsidR="001043B8">
        <w:t>454</w:t>
      </w:r>
      <w:r w:rsidR="002C7FCA">
        <w:t xml:space="preserve"> до </w:t>
      </w:r>
      <w:r w:rsidR="001043B8">
        <w:t>435</w:t>
      </w:r>
      <w:r w:rsidRPr="0029403D">
        <w:t xml:space="preserve"> человек. Эта же </w:t>
      </w:r>
      <w:r w:rsidR="008D09B0" w:rsidRPr="0029403D">
        <w:t xml:space="preserve">тенденция сохраняется в ситуации с трудовыми ресурсами, уменьшение с </w:t>
      </w:r>
      <w:r w:rsidR="001043B8">
        <w:t>242</w:t>
      </w:r>
      <w:r w:rsidR="008D09B0" w:rsidRPr="0029403D">
        <w:t xml:space="preserve"> до </w:t>
      </w:r>
      <w:r w:rsidR="001043B8">
        <w:t>214</w:t>
      </w:r>
      <w:r w:rsidR="008D09B0" w:rsidRPr="0029403D">
        <w:t xml:space="preserve"> человек.</w:t>
      </w:r>
      <w:r w:rsidR="00E96C9A" w:rsidRPr="0029403D">
        <w:t xml:space="preserve"> </w:t>
      </w:r>
      <w:r w:rsidR="001043B8" w:rsidRPr="0029403D">
        <w:t xml:space="preserve">Средняя заработная плата увеличивается ежегодно: с </w:t>
      </w:r>
      <w:r w:rsidR="001043B8">
        <w:t>8030</w:t>
      </w:r>
      <w:r w:rsidR="001043B8" w:rsidRPr="0029403D">
        <w:t xml:space="preserve"> руб. в </w:t>
      </w:r>
      <w:r w:rsidR="001043B8">
        <w:t>2013</w:t>
      </w:r>
      <w:r w:rsidR="001043B8" w:rsidRPr="0029403D">
        <w:t xml:space="preserve"> году д</w:t>
      </w:r>
      <w:r w:rsidR="001043B8">
        <w:t>о</w:t>
      </w:r>
      <w:r w:rsidR="001043B8" w:rsidRPr="0029403D">
        <w:t xml:space="preserve"> </w:t>
      </w:r>
      <w:r w:rsidR="001043B8">
        <w:t>10800</w:t>
      </w:r>
      <w:r w:rsidR="001043B8" w:rsidRPr="0029403D">
        <w:t xml:space="preserve"> руб. в </w:t>
      </w:r>
      <w:r w:rsidR="001043B8">
        <w:t>2015</w:t>
      </w:r>
      <w:r w:rsidR="001043B8" w:rsidRPr="0029403D">
        <w:t xml:space="preserve"> году.</w:t>
      </w:r>
    </w:p>
    <w:p w:rsidR="006628FF" w:rsidRPr="0029403D" w:rsidRDefault="0002517C" w:rsidP="009C219D">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1043B8">
        <w:t>2015</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1164CD">
        <w:t>бюджетные полномочия</w:t>
      </w:r>
      <w:r w:rsidR="001164CD" w:rsidRPr="0029403D">
        <w:t xml:space="preserve"> администрация Верх-Каргатского сельсовета</w:t>
      </w:r>
      <w:r w:rsidR="001164CD">
        <w:t xml:space="preserve"> и</w:t>
      </w:r>
      <w:r w:rsidR="001164CD">
        <w:t>с</w:t>
      </w:r>
      <w:r w:rsidR="001164CD">
        <w:t>полняет</w:t>
      </w:r>
      <w:r w:rsidR="001164CD" w:rsidRPr="0029403D">
        <w:t xml:space="preserve"> в соответствии со </w:t>
      </w:r>
      <w:r w:rsidR="001164CD" w:rsidRPr="00704C9D">
        <w:t xml:space="preserve">статьёй </w:t>
      </w:r>
      <w:r w:rsidR="00C473F5" w:rsidRPr="0029403D">
        <w:t>32 Положения о бюджетном процессе</w:t>
      </w:r>
      <w:r w:rsidR="00C647CB" w:rsidRPr="0029403D">
        <w:t xml:space="preserve">; </w:t>
      </w:r>
      <w:r w:rsidR="007026D6" w:rsidRPr="0029403D">
        <w:t>утверждён пер</w:t>
      </w:r>
      <w:r w:rsidR="007026D6" w:rsidRPr="0029403D">
        <w:t>е</w:t>
      </w:r>
      <w:r w:rsidR="007026D6" w:rsidRPr="0029403D">
        <w:t>чень</w:t>
      </w:r>
      <w:r w:rsidR="0002517C" w:rsidRPr="0029403D">
        <w:t xml:space="preserve"> получателей</w:t>
      </w:r>
      <w:r w:rsidR="007026D6" w:rsidRPr="0029403D">
        <w:t xml:space="preserve"> средств местного бюджета (администрация Верх-Каргатского сельсовета</w:t>
      </w:r>
      <w:r w:rsidR="0002517C" w:rsidRPr="0029403D">
        <w:t>,</w:t>
      </w:r>
      <w:r w:rsidR="007026D6" w:rsidRPr="0029403D">
        <w:t xml:space="preserve"> </w:t>
      </w:r>
      <w:r w:rsidR="001043B8">
        <w:t>МКУК</w:t>
      </w:r>
      <w:r w:rsidR="007026D6" w:rsidRPr="0029403D">
        <w:t xml:space="preserve"> «Верх-Каргатский социально-культурный комплекс»)</w:t>
      </w:r>
      <w:r w:rsidR="0002517C" w:rsidRPr="0029403D">
        <w:t>, соблюд</w:t>
      </w:r>
      <w:r w:rsidR="00007D23" w:rsidRPr="0029403D">
        <w:t>ается</w:t>
      </w:r>
      <w:r w:rsidR="0002517C" w:rsidRPr="0029403D">
        <w:t xml:space="preserve"> принцип подв</w:t>
      </w:r>
      <w:r w:rsidR="0002517C" w:rsidRPr="0029403D">
        <w:t>е</w:t>
      </w:r>
      <w:r w:rsidR="0002517C" w:rsidRPr="0029403D">
        <w:t>домственности при финансировании (отсутствие среди получателей коммерческих организ</w:t>
      </w:r>
      <w:r w:rsidR="0002517C" w:rsidRPr="0029403D">
        <w:t>а</w:t>
      </w:r>
      <w:r w:rsidR="0002517C" w:rsidRPr="0029403D">
        <w:t>ций, учреждений других бюджетов</w:t>
      </w:r>
      <w:r w:rsidR="00007D23" w:rsidRPr="0029403D">
        <w:t>)</w:t>
      </w:r>
      <w:r w:rsidR="0002517C" w:rsidRPr="0029403D">
        <w:t>.</w:t>
      </w:r>
      <w:proofErr w:type="gramEnd"/>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4C5150" w:rsidRPr="0029403D" w:rsidRDefault="00596CD7" w:rsidP="00596CD7">
      <w:pPr>
        <w:pStyle w:val="ConsNormal"/>
        <w:widowControl/>
        <w:tabs>
          <w:tab w:val="left" w:pos="1800"/>
        </w:tabs>
        <w:spacing w:before="60"/>
        <w:ind w:firstLine="567"/>
        <w:jc w:val="both"/>
        <w:rPr>
          <w:rFonts w:ascii="Times New Roman" w:hAnsi="Times New Roman"/>
          <w:sz w:val="24"/>
          <w:szCs w:val="24"/>
        </w:rPr>
      </w:pPr>
      <w:r w:rsidRPr="0029403D">
        <w:rPr>
          <w:rFonts w:ascii="Times New Roman" w:hAnsi="Times New Roman"/>
          <w:sz w:val="24"/>
          <w:szCs w:val="24"/>
        </w:rPr>
        <w:t>2.</w:t>
      </w:r>
      <w:r w:rsidR="004E3D6E" w:rsidRPr="0029403D">
        <w:rPr>
          <w:rFonts w:ascii="Times New Roman" w:hAnsi="Times New Roman"/>
          <w:sz w:val="24"/>
          <w:szCs w:val="24"/>
        </w:rPr>
        <w:t xml:space="preserve">3. </w:t>
      </w:r>
      <w:r w:rsidR="0046205C" w:rsidRPr="0029403D">
        <w:rPr>
          <w:rFonts w:ascii="Times New Roman" w:hAnsi="Times New Roman"/>
          <w:sz w:val="24"/>
          <w:szCs w:val="24"/>
        </w:rPr>
        <w:t>Размещение заказа на поставку товаров, работ, услуг для государственных и мун</w:t>
      </w:r>
      <w:r w:rsidR="0046205C" w:rsidRPr="0029403D">
        <w:rPr>
          <w:rFonts w:ascii="Times New Roman" w:hAnsi="Times New Roman"/>
          <w:sz w:val="24"/>
          <w:szCs w:val="24"/>
        </w:rPr>
        <w:t>и</w:t>
      </w:r>
      <w:r w:rsidR="0046205C" w:rsidRPr="0029403D">
        <w:rPr>
          <w:rFonts w:ascii="Times New Roman" w:hAnsi="Times New Roman"/>
          <w:sz w:val="24"/>
          <w:szCs w:val="24"/>
        </w:rPr>
        <w:t xml:space="preserve">ципальных нужд производится в соответствие </w:t>
      </w:r>
      <w:r w:rsidR="0046205C" w:rsidRPr="002715B0">
        <w:rPr>
          <w:rFonts w:ascii="Times New Roman" w:hAnsi="Times New Roman"/>
          <w:sz w:val="24"/>
          <w:szCs w:val="24"/>
        </w:rPr>
        <w:t xml:space="preserve">Федеральным законом от </w:t>
      </w:r>
      <w:r w:rsidR="0046205C">
        <w:rPr>
          <w:rFonts w:ascii="Times New Roman" w:hAnsi="Times New Roman"/>
          <w:sz w:val="24"/>
          <w:szCs w:val="24"/>
        </w:rPr>
        <w:t>05</w:t>
      </w:r>
      <w:r w:rsidR="0046205C" w:rsidRPr="002715B0">
        <w:rPr>
          <w:rFonts w:ascii="Times New Roman" w:hAnsi="Times New Roman"/>
          <w:sz w:val="24"/>
          <w:szCs w:val="24"/>
        </w:rPr>
        <w:t>.0</w:t>
      </w:r>
      <w:r w:rsidR="0046205C">
        <w:rPr>
          <w:rFonts w:ascii="Times New Roman" w:hAnsi="Times New Roman"/>
          <w:sz w:val="24"/>
          <w:szCs w:val="24"/>
        </w:rPr>
        <w:t>4</w:t>
      </w:r>
      <w:r w:rsidR="0046205C" w:rsidRPr="002715B0">
        <w:rPr>
          <w:rFonts w:ascii="Times New Roman" w:hAnsi="Times New Roman"/>
          <w:sz w:val="24"/>
          <w:szCs w:val="24"/>
        </w:rPr>
        <w:t>.</w:t>
      </w:r>
      <w:r w:rsidR="001043B8">
        <w:rPr>
          <w:rFonts w:ascii="Times New Roman" w:hAnsi="Times New Roman"/>
          <w:sz w:val="24"/>
          <w:szCs w:val="24"/>
        </w:rPr>
        <w:t>2014</w:t>
      </w:r>
      <w:r w:rsidR="0046205C" w:rsidRPr="002715B0">
        <w:rPr>
          <w:rFonts w:ascii="Times New Roman" w:hAnsi="Times New Roman"/>
          <w:sz w:val="24"/>
          <w:szCs w:val="24"/>
        </w:rPr>
        <w:t xml:space="preserve"> </w:t>
      </w:r>
      <w:r w:rsidR="0046205C">
        <w:rPr>
          <w:rFonts w:ascii="Times New Roman" w:hAnsi="Times New Roman"/>
          <w:sz w:val="24"/>
          <w:szCs w:val="24"/>
        </w:rPr>
        <w:t>№</w:t>
      </w:r>
      <w:r w:rsidR="0046205C" w:rsidRPr="002715B0">
        <w:rPr>
          <w:rFonts w:ascii="Times New Roman" w:hAnsi="Times New Roman"/>
          <w:sz w:val="24"/>
          <w:szCs w:val="24"/>
        </w:rPr>
        <w:t xml:space="preserve"> </w:t>
      </w:r>
      <w:r w:rsidR="0046205C">
        <w:rPr>
          <w:rFonts w:ascii="Times New Roman" w:hAnsi="Times New Roman"/>
          <w:sz w:val="24"/>
          <w:szCs w:val="24"/>
        </w:rPr>
        <w:t>4</w:t>
      </w:r>
      <w:r w:rsidR="0046205C" w:rsidRPr="002715B0">
        <w:rPr>
          <w:rFonts w:ascii="Times New Roman" w:hAnsi="Times New Roman"/>
          <w:sz w:val="24"/>
          <w:szCs w:val="24"/>
        </w:rPr>
        <w:t xml:space="preserve">4-ФЗ «О </w:t>
      </w:r>
      <w:r w:rsidR="0046205C">
        <w:rPr>
          <w:rFonts w:ascii="Times New Roman" w:hAnsi="Times New Roman"/>
          <w:sz w:val="24"/>
          <w:szCs w:val="24"/>
        </w:rPr>
        <w:t>контрактной системе в сфере закупок</w:t>
      </w:r>
      <w:r w:rsidR="0046205C" w:rsidRPr="002715B0">
        <w:rPr>
          <w:rFonts w:ascii="Times New Roman" w:hAnsi="Times New Roman"/>
          <w:sz w:val="24"/>
          <w:szCs w:val="24"/>
        </w:rPr>
        <w:t xml:space="preserve"> товаров, работ, услуг для </w:t>
      </w:r>
      <w:r w:rsidR="0046205C">
        <w:rPr>
          <w:rFonts w:ascii="Times New Roman" w:hAnsi="Times New Roman"/>
          <w:sz w:val="24"/>
          <w:szCs w:val="24"/>
        </w:rPr>
        <w:t xml:space="preserve">обеспечения </w:t>
      </w:r>
      <w:r w:rsidR="0046205C" w:rsidRPr="002715B0">
        <w:rPr>
          <w:rFonts w:ascii="Times New Roman" w:hAnsi="Times New Roman"/>
          <w:sz w:val="24"/>
          <w:szCs w:val="24"/>
        </w:rPr>
        <w:t>госуда</w:t>
      </w:r>
      <w:r w:rsidR="0046205C" w:rsidRPr="002715B0">
        <w:rPr>
          <w:rFonts w:ascii="Times New Roman" w:hAnsi="Times New Roman"/>
          <w:sz w:val="24"/>
          <w:szCs w:val="24"/>
        </w:rPr>
        <w:t>р</w:t>
      </w:r>
      <w:r w:rsidR="0046205C" w:rsidRPr="002715B0">
        <w:rPr>
          <w:rFonts w:ascii="Times New Roman" w:hAnsi="Times New Roman"/>
          <w:sz w:val="24"/>
          <w:szCs w:val="24"/>
        </w:rPr>
        <w:t>ственных и муниципальных нужд»</w:t>
      </w:r>
      <w:r w:rsidR="0046205C">
        <w:rPr>
          <w:rFonts w:ascii="Times New Roman" w:hAnsi="Times New Roman"/>
          <w:sz w:val="24"/>
          <w:szCs w:val="24"/>
        </w:rPr>
        <w:t xml:space="preserve">. </w:t>
      </w:r>
    </w:p>
    <w:p w:rsidR="001F25D1" w:rsidRDefault="001F25D1" w:rsidP="001F25D1">
      <w:pPr>
        <w:pStyle w:val="ConsNormal"/>
        <w:widowControl/>
        <w:tabs>
          <w:tab w:val="left" w:pos="1800"/>
        </w:tabs>
        <w:spacing w:before="40" w:after="40"/>
        <w:ind w:firstLine="567"/>
        <w:jc w:val="both"/>
      </w:pPr>
      <w:r w:rsidRPr="002938E6">
        <w:rPr>
          <w:rFonts w:ascii="Times New Roman" w:hAnsi="Times New Roman"/>
          <w:sz w:val="24"/>
          <w:szCs w:val="24"/>
        </w:rPr>
        <w:t xml:space="preserve">В результате </w:t>
      </w:r>
      <w:proofErr w:type="gramStart"/>
      <w:r w:rsidRPr="002938E6">
        <w:rPr>
          <w:rFonts w:ascii="Times New Roman" w:hAnsi="Times New Roman"/>
          <w:sz w:val="24"/>
          <w:szCs w:val="24"/>
        </w:rPr>
        <w:t>анализа реестра закупок</w:t>
      </w:r>
      <w:r>
        <w:rPr>
          <w:rFonts w:ascii="Times New Roman" w:hAnsi="Times New Roman"/>
          <w:sz w:val="24"/>
          <w:szCs w:val="24"/>
        </w:rPr>
        <w:t xml:space="preserve"> нарушений </w:t>
      </w:r>
      <w:r w:rsidRPr="002715B0">
        <w:rPr>
          <w:rFonts w:ascii="Times New Roman" w:hAnsi="Times New Roman"/>
          <w:sz w:val="24"/>
          <w:szCs w:val="24"/>
        </w:rPr>
        <w:t>Федеральн</w:t>
      </w:r>
      <w:r>
        <w:rPr>
          <w:rFonts w:ascii="Times New Roman" w:hAnsi="Times New Roman"/>
          <w:sz w:val="24"/>
          <w:szCs w:val="24"/>
        </w:rPr>
        <w:t>ого</w:t>
      </w:r>
      <w:r w:rsidRPr="002715B0">
        <w:rPr>
          <w:rFonts w:ascii="Times New Roman" w:hAnsi="Times New Roman"/>
          <w:sz w:val="24"/>
          <w:szCs w:val="24"/>
        </w:rPr>
        <w:t xml:space="preserve"> закон</w:t>
      </w:r>
      <w:r>
        <w:rPr>
          <w:rFonts w:ascii="Times New Roman" w:hAnsi="Times New Roman"/>
          <w:sz w:val="24"/>
          <w:szCs w:val="24"/>
        </w:rPr>
        <w:t>а</w:t>
      </w:r>
      <w:proofErr w:type="gramEnd"/>
      <w:r w:rsidRPr="002715B0">
        <w:rPr>
          <w:rFonts w:ascii="Times New Roman" w:hAnsi="Times New Roman"/>
          <w:sz w:val="24"/>
          <w:szCs w:val="24"/>
        </w:rPr>
        <w:t xml:space="preserve">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w:t>
      </w:r>
      <w:r w:rsidR="001043B8">
        <w:rPr>
          <w:rFonts w:ascii="Times New Roman" w:hAnsi="Times New Roman"/>
          <w:sz w:val="24"/>
          <w:szCs w:val="24"/>
        </w:rPr>
        <w:t>2014</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4-ФЗ</w:t>
      </w:r>
      <w:r w:rsidRPr="002938E6">
        <w:rPr>
          <w:rFonts w:ascii="Times New Roman" w:hAnsi="Times New Roman"/>
          <w:sz w:val="24"/>
          <w:szCs w:val="24"/>
        </w:rPr>
        <w:t xml:space="preserve"> </w:t>
      </w:r>
      <w:r>
        <w:rPr>
          <w:rFonts w:ascii="Times New Roman" w:hAnsi="Times New Roman"/>
          <w:sz w:val="24"/>
          <w:szCs w:val="24"/>
        </w:rPr>
        <w:t xml:space="preserve">не </w:t>
      </w:r>
      <w:r w:rsidRPr="002938E6">
        <w:rPr>
          <w:rFonts w:ascii="Times New Roman" w:hAnsi="Times New Roman"/>
          <w:sz w:val="24"/>
          <w:szCs w:val="24"/>
        </w:rPr>
        <w:t>выявлено</w:t>
      </w:r>
      <w:r>
        <w:rPr>
          <w:rFonts w:ascii="Times New Roman" w:hAnsi="Times New Roman"/>
          <w:sz w:val="24"/>
          <w:szCs w:val="24"/>
        </w:rPr>
        <w:t>.</w:t>
      </w:r>
    </w:p>
    <w:p w:rsidR="00587794" w:rsidRPr="0029403D" w:rsidRDefault="00816546" w:rsidP="00592AB4">
      <w:pPr>
        <w:pStyle w:val="ConsPlusNormal"/>
        <w:spacing w:before="40"/>
        <w:ind w:firstLine="567"/>
        <w:jc w:val="both"/>
        <w:rPr>
          <w:rFonts w:ascii="Times New Roman" w:hAnsi="Times New Roman" w:cs="Times New Roman"/>
          <w:sz w:val="24"/>
          <w:szCs w:val="24"/>
        </w:rPr>
      </w:pPr>
      <w:r>
        <w:rPr>
          <w:rFonts w:ascii="Times New Roman" w:hAnsi="Times New Roman" w:cs="Times New Roman"/>
          <w:sz w:val="24"/>
          <w:szCs w:val="24"/>
        </w:rPr>
        <w:t>Предоставленный р</w:t>
      </w:r>
      <w:r w:rsidR="000634AC" w:rsidRPr="0029403D">
        <w:rPr>
          <w:rFonts w:ascii="Times New Roman" w:hAnsi="Times New Roman" w:cs="Times New Roman"/>
          <w:sz w:val="24"/>
          <w:szCs w:val="24"/>
        </w:rPr>
        <w:t xml:space="preserve">еестр закупок </w:t>
      </w:r>
      <w:r w:rsidRPr="00816546">
        <w:rPr>
          <w:rFonts w:ascii="Times New Roman" w:hAnsi="Times New Roman" w:cs="Times New Roman"/>
          <w:b/>
          <w:i/>
          <w:sz w:val="24"/>
          <w:szCs w:val="24"/>
        </w:rPr>
        <w:t>не соответствует</w:t>
      </w:r>
      <w:r w:rsidR="002B068C" w:rsidRPr="008234F3">
        <w:rPr>
          <w:rFonts w:ascii="Times New Roman" w:hAnsi="Times New Roman" w:cs="Times New Roman"/>
          <w:b/>
          <w:i/>
          <w:sz w:val="24"/>
          <w:szCs w:val="24"/>
        </w:rPr>
        <w:t xml:space="preserve"> пункт</w:t>
      </w:r>
      <w:r>
        <w:rPr>
          <w:rFonts w:ascii="Times New Roman" w:hAnsi="Times New Roman" w:cs="Times New Roman"/>
          <w:b/>
          <w:i/>
          <w:sz w:val="24"/>
          <w:szCs w:val="24"/>
        </w:rPr>
        <w:t>у</w:t>
      </w:r>
      <w:r w:rsidR="002B068C" w:rsidRPr="008234F3">
        <w:rPr>
          <w:rFonts w:ascii="Times New Roman" w:hAnsi="Times New Roman" w:cs="Times New Roman"/>
          <w:b/>
          <w:i/>
          <w:sz w:val="24"/>
          <w:szCs w:val="24"/>
        </w:rPr>
        <w:t xml:space="preserve"> 2 статьи 73 БК РФ</w:t>
      </w:r>
      <w:r w:rsidR="002B068C" w:rsidRPr="0029403D">
        <w:rPr>
          <w:rFonts w:ascii="Times New Roman" w:hAnsi="Times New Roman" w:cs="Times New Roman"/>
          <w:sz w:val="24"/>
          <w:szCs w:val="24"/>
        </w:rPr>
        <w:t>:</w:t>
      </w:r>
    </w:p>
    <w:p w:rsidR="002B068C" w:rsidRPr="00B95059" w:rsidRDefault="004F5C29" w:rsidP="00592AB4">
      <w:pPr>
        <w:pStyle w:val="ConsPlusNormal"/>
        <w:spacing w:before="40"/>
        <w:ind w:firstLine="567"/>
        <w:jc w:val="both"/>
        <w:rPr>
          <w:rFonts w:ascii="Times New Roman" w:hAnsi="Times New Roman" w:cs="Times New Roman"/>
          <w:i/>
        </w:rPr>
      </w:pPr>
      <w:r w:rsidRPr="00B95059">
        <w:rPr>
          <w:rFonts w:ascii="Times New Roman" w:hAnsi="Times New Roman" w:cs="Times New Roman"/>
          <w:i/>
        </w:rPr>
        <w:t>«</w:t>
      </w:r>
      <w:r w:rsidR="002B068C" w:rsidRPr="00B95059">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2B068C" w:rsidRPr="00B95059" w:rsidRDefault="002B068C" w:rsidP="004F5C29">
      <w:pPr>
        <w:pStyle w:val="ConsPlusNormal"/>
        <w:ind w:firstLine="567"/>
        <w:jc w:val="both"/>
        <w:rPr>
          <w:rFonts w:ascii="Times New Roman" w:hAnsi="Times New Roman" w:cs="Times New Roman"/>
          <w:i/>
        </w:rPr>
      </w:pPr>
      <w:r w:rsidRPr="00B95059">
        <w:rPr>
          <w:rFonts w:ascii="Times New Roman" w:hAnsi="Times New Roman" w:cs="Times New Roman"/>
          <w:i/>
        </w:rPr>
        <w:t>краткое наименование закупаемых товаров, работ и услуг;</w:t>
      </w:r>
    </w:p>
    <w:p w:rsidR="002B068C" w:rsidRPr="00B95059" w:rsidRDefault="002B068C" w:rsidP="004F5C29">
      <w:pPr>
        <w:pStyle w:val="ConsPlusNormal"/>
        <w:ind w:firstLine="567"/>
        <w:jc w:val="both"/>
        <w:rPr>
          <w:rFonts w:ascii="Times New Roman" w:hAnsi="Times New Roman" w:cs="Times New Roman"/>
          <w:i/>
        </w:rPr>
      </w:pPr>
      <w:r w:rsidRPr="00B95059">
        <w:rPr>
          <w:rFonts w:ascii="Times New Roman" w:hAnsi="Times New Roman" w:cs="Times New Roman"/>
          <w:i/>
        </w:rPr>
        <w:t>наименование и местонахождение поставщиков, подрядчиков и исполнителей услуг;</w:t>
      </w:r>
    </w:p>
    <w:p w:rsidR="002B068C" w:rsidRDefault="002B068C" w:rsidP="004F5C29">
      <w:pPr>
        <w:pStyle w:val="ConsPlusNormal"/>
        <w:ind w:firstLine="567"/>
        <w:jc w:val="both"/>
        <w:rPr>
          <w:rFonts w:ascii="Times New Roman" w:hAnsi="Times New Roman" w:cs="Times New Roman"/>
          <w:i/>
        </w:rPr>
      </w:pPr>
      <w:r w:rsidRPr="00B95059">
        <w:rPr>
          <w:rFonts w:ascii="Times New Roman" w:hAnsi="Times New Roman" w:cs="Times New Roman"/>
          <w:i/>
        </w:rPr>
        <w:t>цена и дата закупки».</w:t>
      </w:r>
    </w:p>
    <w:p w:rsidR="001043B8" w:rsidRDefault="00596CD7" w:rsidP="0046205C">
      <w:pPr>
        <w:spacing w:before="60"/>
        <w:ind w:firstLine="567"/>
        <w:jc w:val="both"/>
      </w:pPr>
      <w:r w:rsidRPr="0029403D">
        <w:t>2.</w:t>
      </w:r>
      <w:r w:rsidR="0046205C">
        <w:t>4</w:t>
      </w:r>
      <w:r w:rsidR="00782AEC" w:rsidRPr="0029403D">
        <w:t xml:space="preserve">. </w:t>
      </w:r>
      <w:r w:rsidR="00C72D66" w:rsidRPr="0029403D">
        <w:t>Проанализировано</w:t>
      </w:r>
      <w:r w:rsidR="00782AEC" w:rsidRPr="0029403D">
        <w:t xml:space="preserve"> общее соответствие бюджетной отчетности требованиям, предъявляемым Инструкцией, утвержденной Приказом Минфина РФ № </w:t>
      </w:r>
      <w:r w:rsidR="00B1297E" w:rsidRPr="0029403D">
        <w:t>191</w:t>
      </w:r>
      <w:r w:rsidR="00782AEC" w:rsidRPr="0029403D">
        <w:t>н от 2</w:t>
      </w:r>
      <w:r w:rsidR="00B1297E" w:rsidRPr="0029403D">
        <w:t>8</w:t>
      </w:r>
      <w:r w:rsidR="00782AEC" w:rsidRPr="0029403D">
        <w:t>.1</w:t>
      </w:r>
      <w:r w:rsidR="00B1297E" w:rsidRPr="0029403D">
        <w:t>2</w:t>
      </w:r>
      <w:r w:rsidR="00782AEC" w:rsidRPr="0029403D">
        <w:t>.</w:t>
      </w:r>
      <w:r w:rsidR="007F2587">
        <w:t>201</w:t>
      </w:r>
      <w:r w:rsidR="00496E96">
        <w:t>0</w:t>
      </w:r>
      <w:r w:rsidR="001043B8">
        <w:t>.</w:t>
      </w:r>
    </w:p>
    <w:p w:rsidR="001043B8" w:rsidRDefault="001043B8" w:rsidP="001043B8">
      <w:pPr>
        <w:spacing w:before="40"/>
        <w:ind w:firstLine="567"/>
        <w:jc w:val="both"/>
      </w:pPr>
      <w:r>
        <w:t>П</w:t>
      </w:r>
      <w:r w:rsidRPr="00DF671F">
        <w:t xml:space="preserve">рисутствуют все обязательные формы, </w:t>
      </w:r>
      <w:r w:rsidRPr="00715C1E">
        <w:rPr>
          <w:b/>
          <w:u w:val="single"/>
        </w:rPr>
        <w:t>однако</w:t>
      </w:r>
      <w:r>
        <w:t>:</w:t>
      </w:r>
    </w:p>
    <w:p w:rsidR="001043B8" w:rsidRPr="00213CAB" w:rsidRDefault="001043B8" w:rsidP="00140040">
      <w:pPr>
        <w:spacing w:before="40"/>
        <w:ind w:firstLine="567"/>
        <w:jc w:val="both"/>
        <w:rPr>
          <w:spacing w:val="-2"/>
        </w:rPr>
      </w:pPr>
      <w:r w:rsidRPr="00213CAB">
        <w:rPr>
          <w:spacing w:val="-2"/>
        </w:rPr>
        <w:t xml:space="preserve">- </w:t>
      </w:r>
      <w:r w:rsidR="008571E3">
        <w:t>в таблице № 7 «</w:t>
      </w:r>
      <w:r w:rsidR="005F5E0E" w:rsidRPr="005F5E0E">
        <w:t>Сведения о результатах внешнего государственного (муниципального) финансового контроля</w:t>
      </w:r>
      <w:r w:rsidR="008571E3">
        <w:t>»</w:t>
      </w:r>
      <w:r w:rsidR="008571E3" w:rsidRPr="00DF671F">
        <w:t xml:space="preserve"> к пояснительной записке</w:t>
      </w:r>
      <w:r w:rsidR="008571E3">
        <w:t xml:space="preserve"> (ф. 0503160) не указана информация о внешних контрольных мероприятиях, проведённых Ревизионной комиссией Каргатского района</w:t>
      </w:r>
      <w:r w:rsidR="008571E3" w:rsidRPr="00213CAB">
        <w:rPr>
          <w:spacing w:val="-2"/>
        </w:rPr>
        <w:t xml:space="preserve"> </w:t>
      </w:r>
      <w:r w:rsidRPr="00213CAB">
        <w:rPr>
          <w:spacing w:val="-2"/>
        </w:rPr>
        <w:t>(</w:t>
      </w:r>
      <w:r w:rsidRPr="00213CAB">
        <w:rPr>
          <w:b/>
          <w:i/>
          <w:spacing w:val="-2"/>
        </w:rPr>
        <w:t xml:space="preserve">на данное </w:t>
      </w:r>
      <w:r w:rsidR="00AA4083">
        <w:rPr>
          <w:b/>
          <w:i/>
          <w:spacing w:val="-2"/>
        </w:rPr>
        <w:t>замечание</w:t>
      </w:r>
      <w:r w:rsidRPr="00213CAB">
        <w:rPr>
          <w:b/>
          <w:i/>
          <w:spacing w:val="-2"/>
        </w:rPr>
        <w:t xml:space="preserve"> было указано в экспертном заключении по результатам внешней проверки годового отчёта об исполнении бюджета за 2014 год</w:t>
      </w:r>
      <w:r w:rsidRPr="00213CAB">
        <w:rPr>
          <w:spacing w:val="-2"/>
        </w:rPr>
        <w:t>);</w:t>
      </w:r>
    </w:p>
    <w:p w:rsidR="008571E3" w:rsidRPr="00FE740F" w:rsidRDefault="008571E3" w:rsidP="00140040">
      <w:pPr>
        <w:spacing w:before="40"/>
        <w:ind w:firstLine="567"/>
        <w:jc w:val="both"/>
        <w:rPr>
          <w:spacing w:val="-2"/>
        </w:rPr>
      </w:pPr>
      <w:r w:rsidRPr="00FE740F">
        <w:rPr>
          <w:spacing w:val="-2"/>
        </w:rPr>
        <w:t>- в форме 0503164 «Сведения об исполнении бюджета» не указаны причины отклонений;</w:t>
      </w:r>
    </w:p>
    <w:p w:rsidR="001043B8" w:rsidRPr="00715C1E" w:rsidRDefault="001043B8" w:rsidP="00140040">
      <w:pPr>
        <w:spacing w:before="40"/>
        <w:ind w:firstLine="567"/>
        <w:jc w:val="both"/>
      </w:pPr>
      <w:r w:rsidRPr="00715C1E">
        <w:t>- в форме 0503177 «Сведения об использовании информационно-коммуникационных технологий» не указаны</w:t>
      </w:r>
      <w:r>
        <w:t xml:space="preserve"> о</w:t>
      </w:r>
      <w:r w:rsidRPr="00715C1E">
        <w:t>сновные цели произведенных расходов</w:t>
      </w:r>
      <w:r>
        <w:t>.</w:t>
      </w:r>
    </w:p>
    <w:p w:rsidR="001451DB" w:rsidRDefault="00420608" w:rsidP="001451DB">
      <w:pPr>
        <w:spacing w:before="60"/>
        <w:ind w:firstLine="567"/>
        <w:jc w:val="both"/>
        <w:rPr>
          <w:spacing w:val="-2"/>
        </w:rPr>
      </w:pPr>
      <w:r w:rsidRPr="00C26C73">
        <w:rPr>
          <w:spacing w:val="-2"/>
        </w:rPr>
        <w:t>2.</w:t>
      </w:r>
      <w:r w:rsidR="0046205C" w:rsidRPr="00C26C73">
        <w:rPr>
          <w:spacing w:val="-2"/>
        </w:rPr>
        <w:t>5</w:t>
      </w:r>
      <w:r w:rsidRPr="00C26C73">
        <w:rPr>
          <w:spacing w:val="-2"/>
        </w:rPr>
        <w:t>.</w:t>
      </w:r>
      <w:r w:rsidR="001451DB" w:rsidRPr="00C26C73">
        <w:rPr>
          <w:spacing w:val="-2"/>
        </w:rPr>
        <w:t xml:space="preserve"> Из формы 0503169 «Сведения о дебиторской и кредиторской задолженности» след</w:t>
      </w:r>
      <w:r w:rsidR="001451DB" w:rsidRPr="00C26C73">
        <w:rPr>
          <w:spacing w:val="-2"/>
        </w:rPr>
        <w:t>у</w:t>
      </w:r>
      <w:r w:rsidR="001451DB" w:rsidRPr="00C26C73">
        <w:rPr>
          <w:spacing w:val="-2"/>
        </w:rPr>
        <w:t>ет, что дебиторская задолженность на 01.01.</w:t>
      </w:r>
      <w:r w:rsidR="001043B8">
        <w:rPr>
          <w:spacing w:val="-2"/>
        </w:rPr>
        <w:t>2016</w:t>
      </w:r>
      <w:r w:rsidR="001451DB" w:rsidRPr="00C26C73">
        <w:rPr>
          <w:spacing w:val="-2"/>
        </w:rPr>
        <w:t xml:space="preserve"> составляет </w:t>
      </w:r>
      <w:r w:rsidR="008571E3">
        <w:rPr>
          <w:spacing w:val="-2"/>
        </w:rPr>
        <w:t>141584,19</w:t>
      </w:r>
      <w:r w:rsidR="001451DB" w:rsidRPr="00C26C73">
        <w:rPr>
          <w:spacing w:val="-2"/>
        </w:rPr>
        <w:t xml:space="preserve"> руб. Данные  формы 0503169 соответствуют данным формы 0503120 «Баланс исполнения бюджета». Объём деб</w:t>
      </w:r>
      <w:r w:rsidR="001451DB" w:rsidRPr="00C26C73">
        <w:rPr>
          <w:spacing w:val="-2"/>
        </w:rPr>
        <w:t>и</w:t>
      </w:r>
      <w:r w:rsidR="001451DB" w:rsidRPr="00C26C73">
        <w:rPr>
          <w:spacing w:val="-2"/>
        </w:rPr>
        <w:t xml:space="preserve">торской задолженности по сравнению с </w:t>
      </w:r>
      <w:r w:rsidR="001043B8">
        <w:rPr>
          <w:spacing w:val="-2"/>
        </w:rPr>
        <w:t>2014</w:t>
      </w:r>
      <w:r w:rsidR="001451DB" w:rsidRPr="00C26C73">
        <w:rPr>
          <w:spacing w:val="-2"/>
        </w:rPr>
        <w:t xml:space="preserve"> годом увеличился на </w:t>
      </w:r>
      <w:r w:rsidR="008571E3">
        <w:rPr>
          <w:spacing w:val="-2"/>
        </w:rPr>
        <w:t>94261,04</w:t>
      </w:r>
      <w:r w:rsidR="00C26C73" w:rsidRPr="00C26C73">
        <w:rPr>
          <w:spacing w:val="-2"/>
        </w:rPr>
        <w:t xml:space="preserve"> руб. или в </w:t>
      </w:r>
      <w:r w:rsidR="008571E3">
        <w:rPr>
          <w:spacing w:val="-2"/>
        </w:rPr>
        <w:t>3</w:t>
      </w:r>
      <w:r w:rsidR="00C26C73" w:rsidRPr="00C26C73">
        <w:rPr>
          <w:spacing w:val="-2"/>
        </w:rPr>
        <w:t xml:space="preserve"> раза</w:t>
      </w:r>
      <w:r w:rsidR="00C26C73">
        <w:rPr>
          <w:spacing w:val="-2"/>
        </w:rPr>
        <w:t>.</w:t>
      </w:r>
    </w:p>
    <w:p w:rsidR="008571E3" w:rsidRPr="00C26C73" w:rsidRDefault="008571E3" w:rsidP="008571E3">
      <w:pPr>
        <w:spacing w:before="40"/>
        <w:ind w:firstLine="567"/>
        <w:jc w:val="both"/>
        <w:rPr>
          <w:spacing w:val="-2"/>
        </w:rPr>
      </w:pPr>
      <w:r w:rsidRPr="008571E3">
        <w:rPr>
          <w:i/>
          <w:color w:val="000000"/>
        </w:rPr>
        <w:t>Ревизионная комиссия отмечает</w:t>
      </w:r>
      <w:r>
        <w:rPr>
          <w:color w:val="000000"/>
        </w:rPr>
        <w:t xml:space="preserve">, что на начало и конец 2015 года имеется </w:t>
      </w:r>
      <w:r w:rsidRPr="00E424C2">
        <w:rPr>
          <w:color w:val="000000"/>
        </w:rPr>
        <w:t>дебиторск</w:t>
      </w:r>
      <w:r>
        <w:rPr>
          <w:color w:val="000000"/>
        </w:rPr>
        <w:t>ая</w:t>
      </w:r>
      <w:r w:rsidRPr="00E424C2">
        <w:rPr>
          <w:color w:val="000000"/>
        </w:rPr>
        <w:t xml:space="preserve"> задолженност</w:t>
      </w:r>
      <w:r>
        <w:rPr>
          <w:color w:val="000000"/>
        </w:rPr>
        <w:t xml:space="preserve">ь по коду счёта </w:t>
      </w:r>
      <w:r w:rsidRPr="008571E3">
        <w:rPr>
          <w:color w:val="000000"/>
        </w:rPr>
        <w:t xml:space="preserve">020622000 </w:t>
      </w:r>
      <w:r>
        <w:rPr>
          <w:color w:val="000000"/>
        </w:rPr>
        <w:t xml:space="preserve">в сумме 272,00 руб., по коду счёта </w:t>
      </w:r>
      <w:r w:rsidRPr="008571E3">
        <w:rPr>
          <w:color w:val="000000"/>
        </w:rPr>
        <w:t xml:space="preserve">020623000 </w:t>
      </w:r>
      <w:r>
        <w:rPr>
          <w:color w:val="000000"/>
        </w:rPr>
        <w:t xml:space="preserve">– в сумме 30102,51 руб. </w:t>
      </w:r>
      <w:r w:rsidRPr="00924176">
        <w:rPr>
          <w:b/>
          <w:i/>
          <w:color w:val="000000"/>
        </w:rPr>
        <w:t>Данны</w:t>
      </w:r>
      <w:r>
        <w:rPr>
          <w:b/>
          <w:i/>
          <w:color w:val="000000"/>
        </w:rPr>
        <w:t>й</w:t>
      </w:r>
      <w:r w:rsidRPr="00924176">
        <w:rPr>
          <w:b/>
          <w:i/>
          <w:color w:val="000000"/>
        </w:rPr>
        <w:t xml:space="preserve"> факт свидетельствует о недостаточном контроле адм</w:t>
      </w:r>
      <w:r w:rsidRPr="00924176">
        <w:rPr>
          <w:b/>
          <w:i/>
          <w:color w:val="000000"/>
        </w:rPr>
        <w:t>и</w:t>
      </w:r>
      <w:r w:rsidRPr="00924176">
        <w:rPr>
          <w:b/>
          <w:i/>
          <w:color w:val="000000"/>
        </w:rPr>
        <w:t xml:space="preserve">нистрации </w:t>
      </w:r>
      <w:r>
        <w:rPr>
          <w:b/>
          <w:i/>
          <w:color w:val="000000"/>
        </w:rPr>
        <w:t>за дебиторской задолженностью в течение года.</w:t>
      </w:r>
    </w:p>
    <w:p w:rsidR="001451DB" w:rsidRDefault="001451DB" w:rsidP="001B728A">
      <w:pPr>
        <w:autoSpaceDE w:val="0"/>
        <w:autoSpaceDN w:val="0"/>
        <w:adjustRightInd w:val="0"/>
        <w:spacing w:before="40"/>
        <w:ind w:firstLine="567"/>
        <w:jc w:val="both"/>
      </w:pPr>
      <w:r w:rsidRPr="00C04DCD">
        <w:t xml:space="preserve">Из формы 0503169 «Сведения о дебиторской и кредиторской задолженности» следует, что кредиторская задолженность </w:t>
      </w:r>
      <w:r w:rsidR="00CC34C9" w:rsidRPr="00C04DCD">
        <w:t>на 01.01.</w:t>
      </w:r>
      <w:r w:rsidR="001043B8">
        <w:t>2016</w:t>
      </w:r>
      <w:r w:rsidR="00CC34C9" w:rsidRPr="00C04DCD">
        <w:t xml:space="preserve"> составляет</w:t>
      </w:r>
      <w:r w:rsidRPr="00C04DCD">
        <w:t xml:space="preserve"> </w:t>
      </w:r>
      <w:r w:rsidR="008571E3">
        <w:t>15581,63</w:t>
      </w:r>
      <w:r w:rsidRPr="00995EDF">
        <w:t xml:space="preserve"> </w:t>
      </w:r>
      <w:r w:rsidRPr="00C04DCD">
        <w:t>руб. Данные  формы 0503169 соответствуют данным формы 0503120 «Баланс исполнения бюджета». Объём кр</w:t>
      </w:r>
      <w:r w:rsidRPr="00C04DCD">
        <w:t>е</w:t>
      </w:r>
      <w:r w:rsidRPr="00C04DCD">
        <w:t xml:space="preserve">диторской задолженности по сравнению с </w:t>
      </w:r>
      <w:r w:rsidR="001043B8">
        <w:t>2014</w:t>
      </w:r>
      <w:r w:rsidRPr="00C04DCD">
        <w:t xml:space="preserve"> годом </w:t>
      </w:r>
      <w:r w:rsidR="00C26C73">
        <w:t>снизился</w:t>
      </w:r>
      <w:r w:rsidRPr="00C04DCD">
        <w:t xml:space="preserve"> на </w:t>
      </w:r>
      <w:r w:rsidR="00C26C73">
        <w:t>467389,00</w:t>
      </w:r>
      <w:r>
        <w:t xml:space="preserve"> </w:t>
      </w:r>
      <w:r w:rsidRPr="00C04DCD">
        <w:t xml:space="preserve">руб. или </w:t>
      </w:r>
      <w:r w:rsidR="008571E3">
        <w:t>82,1</w:t>
      </w:r>
      <w:r w:rsidR="00C26C73">
        <w:t>%.</w:t>
      </w:r>
    </w:p>
    <w:p w:rsidR="009E2890" w:rsidRPr="0029403D" w:rsidRDefault="007420F7" w:rsidP="009C219D">
      <w:pPr>
        <w:pStyle w:val="1"/>
      </w:pPr>
      <w:r w:rsidRPr="0029403D">
        <w:t>3</w:t>
      </w:r>
      <w:r w:rsidR="009E2890" w:rsidRPr="0029403D">
        <w:t xml:space="preserve">. Анализ долговой политики </w:t>
      </w:r>
      <w:r w:rsidR="003D3C03" w:rsidRPr="0029403D">
        <w:t>Верх-Каргатского сельсовета</w:t>
      </w:r>
    </w:p>
    <w:p w:rsidR="007420F7" w:rsidRPr="0029403D"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1043B8">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1043B8">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324407">
        <w:t>11736,4</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324407">
        <w:t>11879,1</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324407">
        <w:t>де</w:t>
      </w:r>
      <w:r w:rsidRPr="0029403D">
        <w:t>фицит</w:t>
      </w:r>
      <w:r w:rsidR="00BE2D15" w:rsidRPr="0029403D">
        <w:t xml:space="preserve"> </w:t>
      </w:r>
      <w:r w:rsidR="00C218BA" w:rsidRPr="0029403D">
        <w:t xml:space="preserve">местного </w:t>
      </w:r>
      <w:r w:rsidRPr="0029403D">
        <w:t xml:space="preserve">бюджета составил </w:t>
      </w:r>
      <w:r w:rsidR="00324407">
        <w:t>142,7</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1043B8">
        <w:t>2014</w:t>
      </w:r>
      <w:r w:rsidR="002C488D" w:rsidRPr="0029403D">
        <w:t xml:space="preserve"> году местный бюджет был исполнен с </w:t>
      </w:r>
      <w:r w:rsidR="007928A5">
        <w:t>про</w:t>
      </w:r>
      <w:r w:rsidR="002C488D" w:rsidRPr="0029403D">
        <w:t xml:space="preserve">фицитом </w:t>
      </w:r>
      <w:r w:rsidR="00324407">
        <w:t>160,4</w:t>
      </w:r>
      <w:r w:rsidRPr="0029403D">
        <w:t> тыс.</w:t>
      </w:r>
      <w:r w:rsidR="002C488D" w:rsidRPr="0029403D">
        <w:t xml:space="preserve"> </w:t>
      </w:r>
      <w:r w:rsidR="00CA485C" w:rsidRPr="0029403D">
        <w:t>руб.</w:t>
      </w:r>
    </w:p>
    <w:p w:rsidR="00324407" w:rsidRPr="000B6B29" w:rsidRDefault="00324407" w:rsidP="00140040">
      <w:pPr>
        <w:spacing w:before="40"/>
        <w:ind w:firstLine="567"/>
        <w:jc w:val="both"/>
        <w:rPr>
          <w:spacing w:val="-2"/>
        </w:rPr>
      </w:pPr>
      <w:r w:rsidRPr="000B6B29">
        <w:rPr>
          <w:spacing w:val="-2"/>
        </w:rPr>
        <w:lastRenderedPageBreak/>
        <w:t>Предельный размер дефицита местного бюджета превысил установленный вторым абз</w:t>
      </w:r>
      <w:r w:rsidRPr="000B6B29">
        <w:rPr>
          <w:spacing w:val="-2"/>
        </w:rPr>
        <w:t>а</w:t>
      </w:r>
      <w:r w:rsidRPr="000B6B29">
        <w:rPr>
          <w:spacing w:val="-2"/>
        </w:rPr>
        <w:t xml:space="preserve">цем пункта 3 статьи 92.1 БК РФ уровень (5%) и составил </w:t>
      </w:r>
      <w:r>
        <w:rPr>
          <w:spacing w:val="-2"/>
        </w:rPr>
        <w:t>24,4</w:t>
      </w:r>
      <w:r w:rsidRPr="000B6B29">
        <w:rPr>
          <w:spacing w:val="-2"/>
        </w:rPr>
        <w:t xml:space="preserve">% </w:t>
      </w:r>
      <w:r>
        <w:rPr>
          <w:color w:val="000000"/>
        </w:rPr>
        <w:t>утверждё</w:t>
      </w:r>
      <w:r w:rsidRPr="000B2C42">
        <w:rPr>
          <w:color w:val="000000"/>
        </w:rPr>
        <w:t>нного общего год</w:t>
      </w:r>
      <w:r w:rsidRPr="000B2C42">
        <w:rPr>
          <w:color w:val="000000"/>
        </w:rPr>
        <w:t>о</w:t>
      </w:r>
      <w:r w:rsidRPr="000B2C42">
        <w:rPr>
          <w:color w:val="000000"/>
        </w:rPr>
        <w:t xml:space="preserve">вого </w:t>
      </w:r>
      <w:r>
        <w:rPr>
          <w:color w:val="000000"/>
        </w:rPr>
        <w:t>объё</w:t>
      </w:r>
      <w:r w:rsidRPr="000B2C42">
        <w:rPr>
          <w:color w:val="000000"/>
        </w:rPr>
        <w:t>ма доходов бюджета без уч</w:t>
      </w:r>
      <w:r>
        <w:rPr>
          <w:color w:val="000000"/>
        </w:rPr>
        <w:t>ё</w:t>
      </w:r>
      <w:r w:rsidRPr="000B2C42">
        <w:rPr>
          <w:color w:val="000000"/>
        </w:rPr>
        <w:t xml:space="preserve">та </w:t>
      </w:r>
      <w:r>
        <w:rPr>
          <w:color w:val="000000"/>
        </w:rPr>
        <w:t>утверждё</w:t>
      </w:r>
      <w:r w:rsidRPr="000B2C42">
        <w:rPr>
          <w:color w:val="000000"/>
        </w:rPr>
        <w:t xml:space="preserve">нного </w:t>
      </w:r>
      <w:r>
        <w:rPr>
          <w:color w:val="000000"/>
        </w:rPr>
        <w:t>объё</w:t>
      </w:r>
      <w:r w:rsidRPr="000B2C42">
        <w:rPr>
          <w:color w:val="000000"/>
        </w:rPr>
        <w:t>ма безвозмездных поступлений</w:t>
      </w:r>
      <w:r w:rsidRPr="000B6B29">
        <w:rPr>
          <w:spacing w:val="-2"/>
        </w:rPr>
        <w:t>. Но, в соответствие третьему абзацу пункта 3 статьи 92.1 БК РФ это допустимо, так как исто</w:t>
      </w:r>
      <w:r w:rsidRPr="000B6B29">
        <w:rPr>
          <w:spacing w:val="-2"/>
        </w:rPr>
        <w:t>ч</w:t>
      </w:r>
      <w:r w:rsidRPr="000B6B29">
        <w:rPr>
          <w:spacing w:val="-2"/>
        </w:rPr>
        <w:t xml:space="preserve">ником финансирования дефицита бюджета утверждено </w:t>
      </w:r>
      <w:r>
        <w:rPr>
          <w:spacing w:val="-2"/>
        </w:rPr>
        <w:t>изменение</w:t>
      </w:r>
      <w:r w:rsidRPr="000B6B29">
        <w:rPr>
          <w:spacing w:val="-2"/>
        </w:rPr>
        <w:t xml:space="preserve"> остатков средств на счетах по учету средств местного бюджета.</w:t>
      </w:r>
    </w:p>
    <w:p w:rsidR="00B3662C" w:rsidRDefault="00696525" w:rsidP="00592AB4">
      <w:pPr>
        <w:spacing w:before="40"/>
        <w:ind w:firstLine="567"/>
        <w:jc w:val="both"/>
      </w:pPr>
      <w:r w:rsidRPr="0029403D">
        <w:t xml:space="preserve">Следует отметить, что при планировании местного бюджета на </w:t>
      </w:r>
      <w:r w:rsidR="001043B8">
        <w:t>2015</w:t>
      </w:r>
      <w:r w:rsidRPr="0029403D">
        <w:t xml:space="preserve"> год</w:t>
      </w:r>
      <w:r w:rsidR="00F01C8A" w:rsidRPr="0029403D">
        <w:t xml:space="preserve"> правильно учтены остатки средств на счетах в органе казначейства, а именно, согласно</w:t>
      </w:r>
      <w:r w:rsidR="00FC5CD7" w:rsidRPr="0029403D">
        <w:t xml:space="preserve"> отчёту формы 05031</w:t>
      </w:r>
      <w:r w:rsidR="001F25D1">
        <w:t>4</w:t>
      </w:r>
      <w:r w:rsidR="00FC5CD7" w:rsidRPr="0029403D">
        <w:t xml:space="preserve">0 «Баланс по </w:t>
      </w:r>
      <w:r w:rsidR="001F25D1">
        <w:t>поступлениям и выбытиям</w:t>
      </w:r>
      <w:r w:rsidR="00FC5CD7" w:rsidRPr="0029403D">
        <w:t xml:space="preserve"> бюджет</w:t>
      </w:r>
      <w:r w:rsidR="001F25D1">
        <w:t>ных средств</w:t>
      </w:r>
      <w:r w:rsidR="00FC5CD7" w:rsidRPr="0029403D">
        <w:t>» остаток средств на 01.01.</w:t>
      </w:r>
      <w:r w:rsidR="001043B8">
        <w:t>2015</w:t>
      </w:r>
      <w:r w:rsidR="00FC5CD7" w:rsidRPr="0029403D">
        <w:t xml:space="preserve"> </w:t>
      </w:r>
      <w:r w:rsidR="000A6332" w:rsidRPr="0029403D">
        <w:t>–</w:t>
      </w:r>
      <w:r w:rsidR="00FC5CD7" w:rsidRPr="0029403D">
        <w:t xml:space="preserve"> </w:t>
      </w:r>
      <w:r w:rsidR="00324407">
        <w:t>308687,27</w:t>
      </w:r>
      <w:r w:rsidR="001F25D1">
        <w:t xml:space="preserve"> </w:t>
      </w:r>
      <w:r w:rsidR="00CA485C" w:rsidRPr="0029403D">
        <w:t>руб.</w:t>
      </w:r>
      <w:r w:rsidR="000A6332" w:rsidRPr="0029403D">
        <w:t xml:space="preserve">, фактически в источниках финансирования дефицита бюджета запланировано </w:t>
      </w:r>
      <w:r w:rsidR="00324407">
        <w:t xml:space="preserve">308687,27 </w:t>
      </w:r>
      <w:r w:rsidR="00CA485C" w:rsidRPr="0029403D">
        <w:t>руб.</w:t>
      </w:r>
      <w:r w:rsidR="00324407">
        <w:t xml:space="preserve"> Несоответствия нет.</w:t>
      </w:r>
    </w:p>
    <w:p w:rsidR="00F17157" w:rsidRPr="0029403D" w:rsidRDefault="00665379" w:rsidP="009C219D">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1D187A" w:rsidRDefault="00F1605F" w:rsidP="008429A2">
      <w:pPr>
        <w:autoSpaceDE w:val="0"/>
        <w:autoSpaceDN w:val="0"/>
        <w:adjustRightInd w:val="0"/>
        <w:ind w:firstLine="540"/>
        <w:jc w:val="both"/>
        <w:outlineLvl w:val="0"/>
      </w:pPr>
      <w:r w:rsidRPr="0029403D">
        <w:t xml:space="preserve">Местный бюджет на </w:t>
      </w:r>
      <w:r w:rsidR="001043B8">
        <w:t>2015</w:t>
      </w:r>
      <w:r w:rsidRPr="0029403D">
        <w:t xml:space="preserve"> год по доходам в </w:t>
      </w:r>
      <w:r w:rsidR="00200EDB" w:rsidRPr="0029403D">
        <w:t>объёме</w:t>
      </w:r>
      <w:r w:rsidRPr="0029403D">
        <w:t xml:space="preserve"> </w:t>
      </w:r>
      <w:r w:rsidR="00324407">
        <w:t>7407,9</w:t>
      </w:r>
      <w:r w:rsidR="00200EDB" w:rsidRPr="0029403D">
        <w:t xml:space="preserve"> тыс. </w:t>
      </w:r>
      <w:r w:rsidR="00CA485C" w:rsidRPr="0029403D">
        <w:t>руб.</w:t>
      </w:r>
      <w:r w:rsidRPr="0029403D">
        <w:t xml:space="preserve"> утверждён</w:t>
      </w:r>
      <w:r w:rsidR="00200EDB" w:rsidRPr="0029403D">
        <w:t xml:space="preserve"> решен</w:t>
      </w:r>
      <w:r w:rsidR="00200EDB" w:rsidRPr="0029403D">
        <w:t>и</w:t>
      </w:r>
      <w:r w:rsidR="00200EDB" w:rsidRPr="0029403D">
        <w:t xml:space="preserve">ем </w:t>
      </w:r>
      <w:r w:rsidR="00324407">
        <w:t>36</w:t>
      </w:r>
      <w:r w:rsidR="00200EDB" w:rsidRPr="0029403D">
        <w:t xml:space="preserve"> сессии 4 созыва Совета депутатов Верх-Каргатского сельсовета Каргатского района Новосибирской области</w:t>
      </w:r>
      <w:r w:rsidR="00E676E9" w:rsidRPr="0029403D">
        <w:t xml:space="preserve"> от </w:t>
      </w:r>
      <w:r w:rsidR="00324407">
        <w:t>23</w:t>
      </w:r>
      <w:r w:rsidR="00E676E9" w:rsidRPr="0029403D">
        <w:t>.1</w:t>
      </w:r>
      <w:r w:rsidR="001A28AE">
        <w:t>2</w:t>
      </w:r>
      <w:r w:rsidR="00E676E9" w:rsidRPr="0029403D">
        <w:t>.</w:t>
      </w:r>
      <w:r w:rsidR="001043B8">
        <w:t>2014</w:t>
      </w:r>
      <w:r w:rsidR="00E676E9" w:rsidRPr="0029403D">
        <w:t xml:space="preserve"> № </w:t>
      </w:r>
      <w:r w:rsidR="00324407">
        <w:t>131</w:t>
      </w:r>
      <w:r w:rsidR="00E676E9" w:rsidRPr="0029403D">
        <w:t xml:space="preserve">. </w:t>
      </w:r>
    </w:p>
    <w:p w:rsidR="00EA02E5" w:rsidRDefault="001D187A" w:rsidP="00592AB4">
      <w:pPr>
        <w:autoSpaceDE w:val="0"/>
        <w:autoSpaceDN w:val="0"/>
        <w:adjustRightInd w:val="0"/>
        <w:spacing w:before="40"/>
        <w:ind w:firstLine="540"/>
        <w:jc w:val="both"/>
        <w:outlineLvl w:val="0"/>
      </w:pPr>
      <w:r w:rsidRPr="00816F79">
        <w:t>Решени</w:t>
      </w:r>
      <w:r>
        <w:t xml:space="preserve">ями от </w:t>
      </w:r>
      <w:r w:rsidR="00324407">
        <w:t>16</w:t>
      </w:r>
      <w:r>
        <w:t>.0</w:t>
      </w:r>
      <w:r w:rsidR="001A28AE">
        <w:t>4</w:t>
      </w:r>
      <w:r>
        <w:t>.</w:t>
      </w:r>
      <w:r w:rsidR="001043B8">
        <w:t>2015</w:t>
      </w:r>
      <w:r>
        <w:t xml:space="preserve"> № </w:t>
      </w:r>
      <w:r w:rsidR="00324407">
        <w:t>139</w:t>
      </w:r>
      <w:r>
        <w:t xml:space="preserve">, </w:t>
      </w:r>
      <w:r w:rsidR="001A28AE">
        <w:t xml:space="preserve">от </w:t>
      </w:r>
      <w:r w:rsidR="00324407">
        <w:t>09</w:t>
      </w:r>
      <w:r w:rsidR="001A28AE">
        <w:t>.</w:t>
      </w:r>
      <w:r w:rsidR="00324407">
        <w:t>1</w:t>
      </w:r>
      <w:r w:rsidR="001A28AE">
        <w:t>0.</w:t>
      </w:r>
      <w:r w:rsidR="001043B8">
        <w:t>2015</w:t>
      </w:r>
      <w:r w:rsidR="001A28AE">
        <w:t xml:space="preserve"> № </w:t>
      </w:r>
      <w:r w:rsidR="00324407">
        <w:t>10</w:t>
      </w:r>
      <w:r w:rsidR="001A28AE">
        <w:t>,</w:t>
      </w:r>
      <w:r>
        <w:t xml:space="preserve"> </w:t>
      </w:r>
      <w:r w:rsidR="001A28AE">
        <w:t xml:space="preserve">от </w:t>
      </w:r>
      <w:r w:rsidR="00324407">
        <w:t>25</w:t>
      </w:r>
      <w:r w:rsidR="001A28AE">
        <w:t>.12.</w:t>
      </w:r>
      <w:r w:rsidR="001043B8">
        <w:t>2015</w:t>
      </w:r>
      <w:r w:rsidR="001A28AE">
        <w:t xml:space="preserve"> № </w:t>
      </w:r>
      <w:r w:rsidR="00324407">
        <w:t>20</w:t>
      </w:r>
      <w:r w:rsidR="001A28AE">
        <w:t xml:space="preserve">, </w:t>
      </w:r>
      <w:r w:rsidRPr="00816F79">
        <w:t xml:space="preserve">были внесены изменения в плановые назначения по доходам. </w:t>
      </w:r>
      <w:r w:rsidR="001F25D1" w:rsidRPr="00AF4B49">
        <w:t xml:space="preserve">По итогам </w:t>
      </w:r>
      <w:r w:rsidR="001F25D1">
        <w:t xml:space="preserve">всех </w:t>
      </w:r>
      <w:r w:rsidR="001F25D1" w:rsidRPr="00AF4B49">
        <w:t xml:space="preserve">внесённых изменений </w:t>
      </w:r>
      <w:r w:rsidR="007A004B">
        <w:t>утве</w:t>
      </w:r>
      <w:r w:rsidR="007A004B">
        <w:t>р</w:t>
      </w:r>
      <w:r w:rsidR="007A004B">
        <w:t>ждённый</w:t>
      </w:r>
      <w:r w:rsidR="001F25D1" w:rsidRPr="00AF4B49">
        <w:t xml:space="preserve"> объём доходов</w:t>
      </w:r>
      <w:r w:rsidR="001F25D1">
        <w:t xml:space="preserve"> составляет </w:t>
      </w:r>
      <w:r w:rsidR="007A004B">
        <w:t>11607,3</w:t>
      </w:r>
      <w:r w:rsidR="001F25D1">
        <w:t xml:space="preserve"> тыс. руб.</w:t>
      </w:r>
    </w:p>
    <w:p w:rsidR="007A004B" w:rsidRPr="007A004B" w:rsidRDefault="00FE3DE2" w:rsidP="007A004B">
      <w:pPr>
        <w:autoSpaceDE w:val="0"/>
        <w:autoSpaceDN w:val="0"/>
        <w:adjustRightInd w:val="0"/>
        <w:spacing w:before="40"/>
        <w:ind w:firstLine="540"/>
        <w:jc w:val="both"/>
        <w:outlineLvl w:val="0"/>
        <w:rPr>
          <w:b/>
          <w:i/>
          <w:spacing w:val="-2"/>
        </w:rPr>
      </w:pPr>
      <w:r w:rsidRPr="007A004B">
        <w:rPr>
          <w:spacing w:val="-2"/>
        </w:rPr>
        <w:t xml:space="preserve">В отчёте об исполнении местного бюджета за </w:t>
      </w:r>
      <w:r w:rsidR="001043B8" w:rsidRPr="007A004B">
        <w:rPr>
          <w:spacing w:val="-2"/>
        </w:rPr>
        <w:t>2015</w:t>
      </w:r>
      <w:r w:rsidRPr="007A004B">
        <w:rPr>
          <w:spacing w:val="-2"/>
        </w:rPr>
        <w:t xml:space="preserve"> год плановый показатель по доходам составляет </w:t>
      </w:r>
      <w:r w:rsidR="007A004B" w:rsidRPr="007A004B">
        <w:rPr>
          <w:spacing w:val="-2"/>
        </w:rPr>
        <w:t>11767,6</w:t>
      </w:r>
      <w:r w:rsidR="007C6063" w:rsidRPr="007A004B">
        <w:rPr>
          <w:spacing w:val="-2"/>
        </w:rPr>
        <w:t xml:space="preserve"> </w:t>
      </w:r>
      <w:r w:rsidRPr="007A004B">
        <w:rPr>
          <w:spacing w:val="-2"/>
        </w:rPr>
        <w:t xml:space="preserve">тыс. руб. </w:t>
      </w:r>
      <w:r w:rsidR="007A004B" w:rsidRPr="007A004B">
        <w:rPr>
          <w:spacing w:val="-2"/>
        </w:rPr>
        <w:t xml:space="preserve">Разница между утверждёнными бюджетными назначениями и данными годового отчёта составляет 160,3 тыс. руб. </w:t>
      </w:r>
      <w:r w:rsidR="007A004B" w:rsidRPr="007A004B">
        <w:rPr>
          <w:b/>
          <w:i/>
          <w:spacing w:val="-2"/>
        </w:rPr>
        <w:t>Тем самым нарушена статья 32 БК РФ:</w:t>
      </w:r>
    </w:p>
    <w:p w:rsidR="007A004B" w:rsidRPr="001B728A" w:rsidRDefault="007A004B" w:rsidP="007A004B">
      <w:pPr>
        <w:autoSpaceDE w:val="0"/>
        <w:autoSpaceDN w:val="0"/>
        <w:adjustRightInd w:val="0"/>
        <w:spacing w:before="40"/>
        <w:ind w:firstLine="540"/>
        <w:jc w:val="both"/>
        <w:outlineLvl w:val="0"/>
        <w:rPr>
          <w:i/>
          <w:sz w:val="20"/>
          <w:szCs w:val="20"/>
        </w:rPr>
      </w:pPr>
      <w:r w:rsidRPr="001B728A">
        <w:rPr>
          <w:i/>
          <w:sz w:val="20"/>
          <w:szCs w:val="20"/>
        </w:rPr>
        <w:t xml:space="preserve"> «Принцип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B80AA4" w:rsidRPr="0029403D" w:rsidRDefault="00B80AA4" w:rsidP="007A004B">
      <w:pPr>
        <w:autoSpaceDE w:val="0"/>
        <w:autoSpaceDN w:val="0"/>
        <w:adjustRightInd w:val="0"/>
        <w:spacing w:before="40"/>
        <w:ind w:firstLine="540"/>
        <w:jc w:val="both"/>
        <w:outlineLvl w:val="0"/>
      </w:pPr>
      <w:r w:rsidRPr="0029403D">
        <w:t xml:space="preserve">Исполнение местного бюджета по доходам за </w:t>
      </w:r>
      <w:r w:rsidR="001043B8">
        <w:t>2015</w:t>
      </w:r>
      <w:r w:rsidRPr="0029403D">
        <w:t xml:space="preserve"> год составило </w:t>
      </w:r>
      <w:r w:rsidR="007A004B">
        <w:t>11736,4</w:t>
      </w:r>
      <w:r w:rsidRPr="0029403D">
        <w:t xml:space="preserve"> тыс. </w:t>
      </w:r>
      <w:r w:rsidR="00CA485C" w:rsidRPr="0029403D">
        <w:t>руб.</w:t>
      </w:r>
      <w:r w:rsidRPr="0029403D">
        <w:t xml:space="preserve"> или </w:t>
      </w:r>
      <w:r w:rsidR="007A004B">
        <w:t>99,7</w:t>
      </w:r>
      <w:r w:rsidR="00FE3DE2">
        <w:t>%</w:t>
      </w:r>
      <w:r w:rsidRPr="0029403D">
        <w:t xml:space="preserve"> к плану</w:t>
      </w:r>
      <w:r w:rsidR="007A3BFC">
        <w:t xml:space="preserve"> </w:t>
      </w:r>
      <w:r w:rsidR="007A3BFC" w:rsidRPr="0029403D">
        <w:t>(</w:t>
      </w:r>
      <w:r w:rsidR="007A3BFC">
        <w:t>недоисполнение</w:t>
      </w:r>
      <w:r w:rsidR="007A3BFC" w:rsidRPr="0029403D">
        <w:t xml:space="preserve"> – </w:t>
      </w:r>
      <w:r w:rsidR="007A004B">
        <w:t>31,2</w:t>
      </w:r>
      <w:r w:rsidR="007A3BFC" w:rsidRPr="0029403D">
        <w:t xml:space="preserve"> тыс. руб.)</w:t>
      </w:r>
      <w:r w:rsidR="007A3BFC">
        <w:t>.</w:t>
      </w:r>
    </w:p>
    <w:p w:rsidR="00006951" w:rsidRPr="0029403D" w:rsidRDefault="00006951" w:rsidP="00592AB4">
      <w:pPr>
        <w:spacing w:before="40"/>
        <w:ind w:firstLine="567"/>
        <w:jc w:val="both"/>
      </w:pPr>
      <w:r w:rsidRPr="0029403D">
        <w:t xml:space="preserve">Из общей суммы доходов налоговые и неналоговые поступления составили </w:t>
      </w:r>
      <w:r w:rsidR="007A004B">
        <w:t>583,8</w:t>
      </w:r>
      <w:r w:rsidRPr="0029403D">
        <w:t xml:space="preserve"> тыс. </w:t>
      </w:r>
      <w:r w:rsidR="00CA485C" w:rsidRPr="0029403D">
        <w:t>руб.</w:t>
      </w:r>
      <w:r w:rsidRPr="0029403D">
        <w:t xml:space="preserve"> или </w:t>
      </w:r>
      <w:r w:rsidR="007A004B">
        <w:t>5,0</w:t>
      </w:r>
      <w:r w:rsidRPr="0029403D">
        <w:t xml:space="preserve">%, безвозмездные поступления – </w:t>
      </w:r>
      <w:r w:rsidR="007A004B">
        <w:t>11152,6</w:t>
      </w:r>
      <w:r w:rsidRPr="0029403D">
        <w:t> тыс.</w:t>
      </w:r>
      <w:r w:rsidR="00C1658D" w:rsidRPr="0029403D">
        <w:t xml:space="preserve"> </w:t>
      </w:r>
      <w:r w:rsidR="00CA485C" w:rsidRPr="0029403D">
        <w:t>руб.</w:t>
      </w:r>
      <w:r w:rsidRPr="0029403D">
        <w:t xml:space="preserve"> или </w:t>
      </w:r>
      <w:r w:rsidR="007928A5">
        <w:t>95,</w:t>
      </w:r>
      <w:r w:rsidR="007A004B">
        <w:t>0</w:t>
      </w:r>
      <w:r w:rsidRPr="0029403D">
        <w:t>%.</w:t>
      </w:r>
    </w:p>
    <w:p w:rsidR="001328F1" w:rsidRPr="0029403D" w:rsidRDefault="001328F1" w:rsidP="00592AB4">
      <w:pPr>
        <w:spacing w:before="4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3D272D" w:rsidRPr="0029403D">
        <w:t>у</w:t>
      </w:r>
      <w:r w:rsidR="00FE3DE2">
        <w:t>велич</w:t>
      </w:r>
      <w:r w:rsidR="003D272D" w:rsidRPr="0029403D">
        <w:t>и</w:t>
      </w:r>
      <w:r w:rsidR="003D272D" w:rsidRPr="0029403D">
        <w:t>лись</w:t>
      </w:r>
      <w:r w:rsidRPr="0029403D">
        <w:t xml:space="preserve"> на </w:t>
      </w:r>
      <w:r w:rsidR="007A004B">
        <w:t>3197,3</w:t>
      </w:r>
      <w:r w:rsidR="003D272D" w:rsidRPr="0029403D">
        <w:t xml:space="preserve"> </w:t>
      </w:r>
      <w:r w:rsidRPr="0029403D">
        <w:t>тыс.</w:t>
      </w:r>
      <w:r w:rsidR="003D272D" w:rsidRPr="0029403D">
        <w:t xml:space="preserve"> </w:t>
      </w:r>
      <w:r w:rsidR="00CA485C" w:rsidRPr="0029403D">
        <w:t>руб.</w:t>
      </w:r>
      <w:r w:rsidRPr="0029403D">
        <w:t xml:space="preserve"> или</w:t>
      </w:r>
      <w:r w:rsidR="007928A5">
        <w:t xml:space="preserve"> на </w:t>
      </w:r>
      <w:r w:rsidR="007A004B">
        <w:t>37,4</w:t>
      </w:r>
      <w:r w:rsidRPr="0029403D">
        <w:t xml:space="preserve">%, в том числе </w:t>
      </w:r>
      <w:r w:rsidR="007928A5" w:rsidRPr="0029403D">
        <w:t xml:space="preserve">поступления </w:t>
      </w:r>
      <w:r w:rsidR="001946F6" w:rsidRPr="0029403D">
        <w:t>налоговы</w:t>
      </w:r>
      <w:r w:rsidR="007928A5">
        <w:t xml:space="preserve">х </w:t>
      </w:r>
      <w:r w:rsidR="001946F6" w:rsidRPr="0029403D">
        <w:t>и неналоговы</w:t>
      </w:r>
      <w:r w:rsidR="007928A5">
        <w:t xml:space="preserve">х доходов </w:t>
      </w:r>
      <w:r w:rsidR="007A004B" w:rsidRPr="0029403D">
        <w:t>у</w:t>
      </w:r>
      <w:r w:rsidR="007A004B">
        <w:t>велич</w:t>
      </w:r>
      <w:r w:rsidR="007A004B" w:rsidRPr="0029403D">
        <w:t xml:space="preserve">ились </w:t>
      </w:r>
      <w:r w:rsidR="002308B9" w:rsidRPr="0029403D">
        <w:t>на</w:t>
      </w:r>
      <w:r w:rsidR="00D912CC" w:rsidRPr="0029403D">
        <w:t xml:space="preserve"> </w:t>
      </w:r>
      <w:r w:rsidR="007A004B">
        <w:t>163,5</w:t>
      </w:r>
      <w:r w:rsidR="001946F6" w:rsidRPr="0029403D">
        <w:t xml:space="preserve"> тыс. </w:t>
      </w:r>
      <w:r w:rsidR="00CA485C" w:rsidRPr="0029403D">
        <w:t>руб.</w:t>
      </w:r>
      <w:r w:rsidR="001946F6" w:rsidRPr="0029403D">
        <w:t xml:space="preserve"> или</w:t>
      </w:r>
      <w:r w:rsidR="007928A5">
        <w:t xml:space="preserve"> на</w:t>
      </w:r>
      <w:r w:rsidR="001946F6" w:rsidRPr="0029403D">
        <w:t xml:space="preserve"> </w:t>
      </w:r>
      <w:r w:rsidR="007A004B">
        <w:t>38,9</w:t>
      </w:r>
      <w:r w:rsidR="001946F6" w:rsidRPr="0029403D">
        <w:t>%, безвозмездные</w:t>
      </w:r>
      <w:r w:rsidR="002308B9" w:rsidRPr="0029403D">
        <w:t xml:space="preserve"> поступления</w:t>
      </w:r>
      <w:r w:rsidR="001946F6" w:rsidRPr="0029403D">
        <w:t xml:space="preserve"> </w:t>
      </w:r>
      <w:r w:rsidR="00FE3DE2" w:rsidRPr="0029403D">
        <w:t>у</w:t>
      </w:r>
      <w:r w:rsidR="00FE3DE2">
        <w:t>велич</w:t>
      </w:r>
      <w:r w:rsidR="00FE3DE2" w:rsidRPr="0029403D">
        <w:t>и</w:t>
      </w:r>
      <w:r w:rsidR="00FE3DE2" w:rsidRPr="0029403D">
        <w:t xml:space="preserve">лись </w:t>
      </w:r>
      <w:r w:rsidR="002308B9" w:rsidRPr="0029403D">
        <w:t xml:space="preserve">на </w:t>
      </w:r>
      <w:r w:rsidR="007A004B">
        <w:t>3033,8</w:t>
      </w:r>
      <w:r w:rsidR="002308B9" w:rsidRPr="0029403D">
        <w:t xml:space="preserve"> тыс. </w:t>
      </w:r>
      <w:r w:rsidR="00CA485C" w:rsidRPr="0029403D">
        <w:t>руб.</w:t>
      </w:r>
      <w:r w:rsidR="002308B9" w:rsidRPr="0029403D">
        <w:t xml:space="preserve"> или </w:t>
      </w:r>
      <w:proofErr w:type="gramStart"/>
      <w:r w:rsidR="007928A5">
        <w:t>на</w:t>
      </w:r>
      <w:proofErr w:type="gramEnd"/>
      <w:r w:rsidR="007928A5">
        <w:t xml:space="preserve"> </w:t>
      </w:r>
      <w:r w:rsidR="007A004B">
        <w:t>37,4</w:t>
      </w:r>
      <w:r w:rsidR="002308B9" w:rsidRPr="0029403D">
        <w:t>%</w:t>
      </w:r>
      <w:r w:rsidRPr="0029403D">
        <w:t>.</w:t>
      </w:r>
    </w:p>
    <w:p w:rsidR="005E15EC" w:rsidRPr="0029403D" w:rsidRDefault="005E15EC" w:rsidP="00140040">
      <w:pPr>
        <w:spacing w:before="80"/>
        <w:ind w:firstLine="567"/>
        <w:jc w:val="both"/>
      </w:pPr>
      <w:r w:rsidRPr="0029403D">
        <w:rPr>
          <w:b/>
          <w:bCs/>
          <w:iCs/>
        </w:rPr>
        <w:t>Налоговые доходы</w:t>
      </w:r>
      <w:r w:rsidRPr="0029403D">
        <w:rPr>
          <w:bCs/>
          <w:iCs/>
        </w:rPr>
        <w:t xml:space="preserve"> местного бюджета </w:t>
      </w:r>
      <w:r w:rsidR="008608CA" w:rsidRPr="0029403D">
        <w:rPr>
          <w:bCs/>
          <w:iCs/>
        </w:rPr>
        <w:t>з</w:t>
      </w:r>
      <w:r w:rsidRPr="0029403D">
        <w:rPr>
          <w:bCs/>
          <w:iCs/>
        </w:rPr>
        <w:t xml:space="preserve">а </w:t>
      </w:r>
      <w:r w:rsidR="001043B8">
        <w:rPr>
          <w:bCs/>
          <w:iCs/>
        </w:rPr>
        <w:t>2015</w:t>
      </w:r>
      <w:r w:rsidRPr="0029403D">
        <w:rPr>
          <w:bCs/>
          <w:iCs/>
        </w:rPr>
        <w:t xml:space="preserve"> год </w:t>
      </w:r>
      <w:r w:rsidR="008608CA" w:rsidRPr="0029403D">
        <w:rPr>
          <w:bCs/>
          <w:iCs/>
        </w:rPr>
        <w:t>исполнены</w:t>
      </w:r>
      <w:r w:rsidRPr="0029403D">
        <w:rPr>
          <w:bCs/>
          <w:iCs/>
        </w:rPr>
        <w:t xml:space="preserve"> в объеме </w:t>
      </w:r>
      <w:r w:rsidR="007A004B">
        <w:rPr>
          <w:bCs/>
          <w:iCs/>
        </w:rPr>
        <w:t>442,1</w:t>
      </w:r>
      <w:r w:rsidRPr="0029403D">
        <w:rPr>
          <w:bCs/>
          <w:iCs/>
        </w:rPr>
        <w:t xml:space="preserve"> тыс. руб. </w:t>
      </w:r>
      <w:r w:rsidR="00356683" w:rsidRPr="0029403D">
        <w:rPr>
          <w:bCs/>
          <w:iCs/>
        </w:rPr>
        <w:t xml:space="preserve">или </w:t>
      </w:r>
      <w:r w:rsidR="00FE3DE2">
        <w:rPr>
          <w:bCs/>
          <w:iCs/>
        </w:rPr>
        <w:t>1</w:t>
      </w:r>
      <w:r w:rsidR="007A004B">
        <w:rPr>
          <w:bCs/>
          <w:iCs/>
        </w:rPr>
        <w:t>13,3</w:t>
      </w:r>
      <w:r w:rsidR="00CB7F16" w:rsidRPr="0029403D">
        <w:rPr>
          <w:bCs/>
          <w:iCs/>
        </w:rPr>
        <w:t>% от плановых назначений</w:t>
      </w:r>
      <w:r w:rsidRPr="0029403D">
        <w:t>.</w:t>
      </w:r>
    </w:p>
    <w:p w:rsidR="005E15EC" w:rsidRPr="0029403D" w:rsidRDefault="005E15EC" w:rsidP="00366DE5">
      <w:pPr>
        <w:spacing w:before="60"/>
        <w:ind w:firstLine="567"/>
        <w:jc w:val="both"/>
      </w:pPr>
      <w:r w:rsidRPr="0029403D">
        <w:t>Подробный анализ поступления налоговых доходов представлен в таблице 1.</w:t>
      </w:r>
    </w:p>
    <w:p w:rsidR="005E15EC" w:rsidRPr="000D210C" w:rsidRDefault="005E15EC" w:rsidP="00366DE5">
      <w:pPr>
        <w:spacing w:before="120" w:after="120"/>
        <w:jc w:val="center"/>
        <w:rPr>
          <w:sz w:val="22"/>
          <w:szCs w:val="22"/>
        </w:rPr>
      </w:pPr>
      <w:r w:rsidRPr="000D210C">
        <w:rPr>
          <w:sz w:val="22"/>
          <w:szCs w:val="22"/>
        </w:rPr>
        <w:t xml:space="preserve">Таблица 1. Структура </w:t>
      </w:r>
      <w:r w:rsidR="000A68BE" w:rsidRPr="000D210C">
        <w:rPr>
          <w:sz w:val="22"/>
          <w:szCs w:val="22"/>
        </w:rPr>
        <w:t xml:space="preserve">и динамика поступления </w:t>
      </w:r>
      <w:r w:rsidRPr="000D210C">
        <w:rPr>
          <w:sz w:val="22"/>
          <w:szCs w:val="22"/>
        </w:rPr>
        <w:t>налоговых доходов местного бюджета, тыс. руб.</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531"/>
        <w:gridCol w:w="1417"/>
      </w:tblGrid>
      <w:tr w:rsidR="00BB7E0B" w:rsidRPr="0029403D" w:rsidTr="00222BC0">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2948" w:type="dxa"/>
            <w:gridSpan w:val="2"/>
            <w:vAlign w:val="center"/>
          </w:tcPr>
          <w:p w:rsidR="00BB7E0B" w:rsidRPr="0029403D" w:rsidRDefault="00BB7E0B" w:rsidP="00ED23C5">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222BC0">
        <w:trPr>
          <w:trHeight w:val="301"/>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1043B8" w:rsidP="00877B5F">
            <w:pPr>
              <w:jc w:val="center"/>
              <w:rPr>
                <w:i/>
                <w:sz w:val="20"/>
                <w:szCs w:val="20"/>
              </w:rPr>
            </w:pPr>
            <w:r>
              <w:rPr>
                <w:i/>
                <w:sz w:val="20"/>
                <w:szCs w:val="20"/>
              </w:rPr>
              <w:t>2013</w:t>
            </w:r>
          </w:p>
        </w:tc>
        <w:tc>
          <w:tcPr>
            <w:tcW w:w="737" w:type="dxa"/>
            <w:vAlign w:val="center"/>
          </w:tcPr>
          <w:p w:rsidR="00BB7E0B" w:rsidRPr="0029403D" w:rsidRDefault="001043B8" w:rsidP="00877B5F">
            <w:pPr>
              <w:jc w:val="center"/>
              <w:rPr>
                <w:i/>
                <w:sz w:val="20"/>
                <w:szCs w:val="20"/>
              </w:rPr>
            </w:pPr>
            <w:r>
              <w:rPr>
                <w:i/>
                <w:sz w:val="20"/>
                <w:szCs w:val="20"/>
              </w:rPr>
              <w:t>2014</w:t>
            </w:r>
          </w:p>
        </w:tc>
        <w:tc>
          <w:tcPr>
            <w:tcW w:w="737" w:type="dxa"/>
            <w:vAlign w:val="center"/>
          </w:tcPr>
          <w:p w:rsidR="00BB7E0B" w:rsidRPr="0029403D" w:rsidRDefault="001043B8" w:rsidP="00877B5F">
            <w:pPr>
              <w:jc w:val="center"/>
              <w:rPr>
                <w:i/>
                <w:sz w:val="20"/>
                <w:szCs w:val="20"/>
              </w:rPr>
            </w:pPr>
            <w:r>
              <w:rPr>
                <w:i/>
                <w:sz w:val="20"/>
                <w:szCs w:val="20"/>
              </w:rPr>
              <w:t>2015</w:t>
            </w:r>
          </w:p>
        </w:tc>
        <w:tc>
          <w:tcPr>
            <w:tcW w:w="794" w:type="dxa"/>
            <w:vAlign w:val="center"/>
          </w:tcPr>
          <w:p w:rsidR="00BB7E0B" w:rsidRPr="0029403D" w:rsidRDefault="001043B8" w:rsidP="00877B5F">
            <w:pPr>
              <w:jc w:val="center"/>
              <w:rPr>
                <w:i/>
                <w:sz w:val="20"/>
                <w:szCs w:val="20"/>
              </w:rPr>
            </w:pPr>
            <w:r>
              <w:rPr>
                <w:i/>
                <w:sz w:val="20"/>
                <w:szCs w:val="20"/>
              </w:rPr>
              <w:t>2013</w:t>
            </w:r>
          </w:p>
        </w:tc>
        <w:tc>
          <w:tcPr>
            <w:tcW w:w="794" w:type="dxa"/>
            <w:vAlign w:val="center"/>
          </w:tcPr>
          <w:p w:rsidR="00BB7E0B" w:rsidRPr="0029403D" w:rsidRDefault="001043B8" w:rsidP="00877B5F">
            <w:pPr>
              <w:jc w:val="center"/>
              <w:rPr>
                <w:i/>
                <w:sz w:val="20"/>
                <w:szCs w:val="20"/>
              </w:rPr>
            </w:pPr>
            <w:r>
              <w:rPr>
                <w:i/>
                <w:sz w:val="20"/>
                <w:szCs w:val="20"/>
              </w:rPr>
              <w:t>2014</w:t>
            </w:r>
          </w:p>
        </w:tc>
        <w:tc>
          <w:tcPr>
            <w:tcW w:w="794" w:type="dxa"/>
            <w:vAlign w:val="center"/>
          </w:tcPr>
          <w:p w:rsidR="00BB7E0B" w:rsidRPr="0029403D" w:rsidRDefault="001043B8" w:rsidP="00877B5F">
            <w:pPr>
              <w:jc w:val="center"/>
              <w:rPr>
                <w:i/>
                <w:sz w:val="20"/>
                <w:szCs w:val="20"/>
              </w:rPr>
            </w:pPr>
            <w:r>
              <w:rPr>
                <w:i/>
                <w:sz w:val="20"/>
                <w:szCs w:val="20"/>
              </w:rPr>
              <w:t>2015</w:t>
            </w:r>
          </w:p>
        </w:tc>
        <w:tc>
          <w:tcPr>
            <w:tcW w:w="1531" w:type="dxa"/>
            <w:vAlign w:val="center"/>
          </w:tcPr>
          <w:p w:rsidR="00BB7E0B" w:rsidRPr="0029403D" w:rsidRDefault="001043B8" w:rsidP="00877B5F">
            <w:pPr>
              <w:jc w:val="center"/>
              <w:rPr>
                <w:i/>
                <w:sz w:val="20"/>
                <w:szCs w:val="20"/>
              </w:rPr>
            </w:pPr>
            <w:r>
              <w:rPr>
                <w:i/>
                <w:sz w:val="20"/>
                <w:szCs w:val="20"/>
              </w:rPr>
              <w:t>2014</w:t>
            </w:r>
            <w:r w:rsidR="00ED23C5">
              <w:rPr>
                <w:i/>
                <w:sz w:val="20"/>
                <w:szCs w:val="20"/>
              </w:rPr>
              <w:t xml:space="preserve"> к </w:t>
            </w:r>
            <w:r>
              <w:rPr>
                <w:i/>
                <w:sz w:val="20"/>
                <w:szCs w:val="20"/>
              </w:rPr>
              <w:t>2013</w:t>
            </w:r>
          </w:p>
        </w:tc>
        <w:tc>
          <w:tcPr>
            <w:tcW w:w="1417" w:type="dxa"/>
            <w:vAlign w:val="center"/>
          </w:tcPr>
          <w:p w:rsidR="00BB7E0B" w:rsidRPr="0029403D" w:rsidRDefault="001043B8" w:rsidP="00877B5F">
            <w:pPr>
              <w:jc w:val="center"/>
              <w:rPr>
                <w:i/>
                <w:sz w:val="20"/>
                <w:szCs w:val="20"/>
              </w:rPr>
            </w:pPr>
            <w:r>
              <w:rPr>
                <w:i/>
                <w:sz w:val="20"/>
                <w:szCs w:val="20"/>
              </w:rPr>
              <w:t>2015</w:t>
            </w:r>
            <w:r w:rsidR="00ED23C5">
              <w:rPr>
                <w:i/>
                <w:sz w:val="20"/>
                <w:szCs w:val="20"/>
              </w:rPr>
              <w:t xml:space="preserve"> к </w:t>
            </w:r>
            <w:r>
              <w:rPr>
                <w:i/>
                <w:sz w:val="20"/>
                <w:szCs w:val="20"/>
              </w:rPr>
              <w:t>2014</w:t>
            </w:r>
          </w:p>
        </w:tc>
      </w:tr>
      <w:tr w:rsidR="007A004B" w:rsidRPr="0029403D" w:rsidTr="00222BC0">
        <w:trPr>
          <w:trHeight w:val="340"/>
        </w:trPr>
        <w:tc>
          <w:tcPr>
            <w:tcW w:w="2211" w:type="dxa"/>
            <w:vAlign w:val="center"/>
          </w:tcPr>
          <w:p w:rsidR="007A004B" w:rsidRPr="0029403D" w:rsidRDefault="007A004B" w:rsidP="00140040">
            <w:pPr>
              <w:spacing w:before="40" w:after="40"/>
              <w:rPr>
                <w:sz w:val="22"/>
                <w:szCs w:val="22"/>
              </w:rPr>
            </w:pPr>
            <w:r w:rsidRPr="0029403D">
              <w:rPr>
                <w:sz w:val="22"/>
                <w:szCs w:val="22"/>
              </w:rPr>
              <w:t>НДФЛ</w:t>
            </w:r>
          </w:p>
        </w:tc>
        <w:tc>
          <w:tcPr>
            <w:tcW w:w="737" w:type="dxa"/>
            <w:vAlign w:val="center"/>
          </w:tcPr>
          <w:p w:rsidR="007A004B" w:rsidRPr="0029403D" w:rsidRDefault="007A004B" w:rsidP="00140040">
            <w:pPr>
              <w:spacing w:before="40" w:after="40"/>
              <w:jc w:val="center"/>
              <w:rPr>
                <w:sz w:val="22"/>
                <w:szCs w:val="22"/>
              </w:rPr>
            </w:pPr>
            <w:r>
              <w:rPr>
                <w:sz w:val="22"/>
                <w:szCs w:val="22"/>
              </w:rPr>
              <w:t>144,7</w:t>
            </w:r>
          </w:p>
        </w:tc>
        <w:tc>
          <w:tcPr>
            <w:tcW w:w="737" w:type="dxa"/>
            <w:vAlign w:val="center"/>
          </w:tcPr>
          <w:p w:rsidR="007A004B" w:rsidRPr="0029403D" w:rsidRDefault="007A004B" w:rsidP="00140040">
            <w:pPr>
              <w:spacing w:before="40" w:after="40"/>
              <w:jc w:val="center"/>
              <w:rPr>
                <w:sz w:val="22"/>
                <w:szCs w:val="22"/>
              </w:rPr>
            </w:pPr>
            <w:r>
              <w:rPr>
                <w:sz w:val="22"/>
                <w:szCs w:val="22"/>
              </w:rPr>
              <w:t>132,7</w:t>
            </w:r>
          </w:p>
        </w:tc>
        <w:tc>
          <w:tcPr>
            <w:tcW w:w="737" w:type="dxa"/>
            <w:vAlign w:val="center"/>
          </w:tcPr>
          <w:p w:rsidR="007A004B" w:rsidRPr="0029403D" w:rsidRDefault="007A004B" w:rsidP="00140040">
            <w:pPr>
              <w:spacing w:before="40" w:after="40"/>
              <w:jc w:val="center"/>
              <w:rPr>
                <w:sz w:val="22"/>
                <w:szCs w:val="22"/>
              </w:rPr>
            </w:pPr>
            <w:r>
              <w:rPr>
                <w:sz w:val="22"/>
                <w:szCs w:val="22"/>
              </w:rPr>
              <w:t>138,7</w:t>
            </w:r>
          </w:p>
        </w:tc>
        <w:tc>
          <w:tcPr>
            <w:tcW w:w="794" w:type="dxa"/>
            <w:vAlign w:val="center"/>
          </w:tcPr>
          <w:p w:rsidR="007A004B" w:rsidRPr="0029403D" w:rsidRDefault="007A004B" w:rsidP="00140040">
            <w:pPr>
              <w:spacing w:before="40" w:after="40"/>
              <w:jc w:val="center"/>
              <w:rPr>
                <w:sz w:val="22"/>
                <w:szCs w:val="22"/>
              </w:rPr>
            </w:pPr>
            <w:r>
              <w:rPr>
                <w:sz w:val="22"/>
                <w:szCs w:val="22"/>
              </w:rPr>
              <w:t>87,1</w:t>
            </w:r>
            <w:r w:rsidRPr="0029403D">
              <w:rPr>
                <w:sz w:val="22"/>
                <w:szCs w:val="22"/>
              </w:rPr>
              <w:t>%</w:t>
            </w:r>
          </w:p>
        </w:tc>
        <w:tc>
          <w:tcPr>
            <w:tcW w:w="794" w:type="dxa"/>
            <w:vAlign w:val="center"/>
          </w:tcPr>
          <w:p w:rsidR="007A004B" w:rsidRPr="0029403D" w:rsidRDefault="007A004B" w:rsidP="00140040">
            <w:pPr>
              <w:spacing w:before="40" w:after="40"/>
              <w:jc w:val="center"/>
              <w:rPr>
                <w:sz w:val="22"/>
                <w:szCs w:val="22"/>
              </w:rPr>
            </w:pPr>
            <w:r>
              <w:rPr>
                <w:sz w:val="22"/>
                <w:szCs w:val="22"/>
              </w:rPr>
              <w:t>92,4%</w:t>
            </w:r>
          </w:p>
        </w:tc>
        <w:tc>
          <w:tcPr>
            <w:tcW w:w="794" w:type="dxa"/>
            <w:vAlign w:val="center"/>
          </w:tcPr>
          <w:p w:rsidR="007A004B" w:rsidRPr="0029403D" w:rsidRDefault="007A004B" w:rsidP="00140040">
            <w:pPr>
              <w:spacing w:before="40" w:after="40"/>
              <w:jc w:val="center"/>
              <w:rPr>
                <w:sz w:val="22"/>
                <w:szCs w:val="22"/>
              </w:rPr>
            </w:pPr>
            <w:r>
              <w:rPr>
                <w:sz w:val="22"/>
                <w:szCs w:val="22"/>
              </w:rPr>
              <w:t>31,4%</w:t>
            </w:r>
          </w:p>
        </w:tc>
        <w:tc>
          <w:tcPr>
            <w:tcW w:w="1531" w:type="dxa"/>
            <w:vAlign w:val="center"/>
          </w:tcPr>
          <w:p w:rsidR="007A004B" w:rsidRPr="007928A5" w:rsidRDefault="007A004B" w:rsidP="00140040">
            <w:pPr>
              <w:spacing w:before="40" w:after="40"/>
              <w:jc w:val="center"/>
              <w:rPr>
                <w:sz w:val="22"/>
                <w:szCs w:val="22"/>
              </w:rPr>
            </w:pPr>
            <w:r>
              <w:rPr>
                <w:sz w:val="22"/>
                <w:szCs w:val="22"/>
              </w:rPr>
              <w:t>-12,0 / -8,3%</w:t>
            </w:r>
          </w:p>
        </w:tc>
        <w:tc>
          <w:tcPr>
            <w:tcW w:w="1417" w:type="dxa"/>
            <w:vAlign w:val="center"/>
          </w:tcPr>
          <w:p w:rsidR="007A004B" w:rsidRPr="007928A5" w:rsidRDefault="007A004B" w:rsidP="00140040">
            <w:pPr>
              <w:spacing w:before="40" w:after="40"/>
              <w:jc w:val="center"/>
              <w:rPr>
                <w:sz w:val="22"/>
                <w:szCs w:val="22"/>
              </w:rPr>
            </w:pPr>
            <w:r>
              <w:rPr>
                <w:sz w:val="22"/>
                <w:szCs w:val="22"/>
              </w:rPr>
              <w:t>6,0 / 4,5%</w:t>
            </w:r>
          </w:p>
        </w:tc>
      </w:tr>
      <w:tr w:rsidR="007A004B" w:rsidRPr="0029403D" w:rsidTr="00222BC0">
        <w:trPr>
          <w:trHeight w:val="283"/>
        </w:trPr>
        <w:tc>
          <w:tcPr>
            <w:tcW w:w="2211" w:type="dxa"/>
          </w:tcPr>
          <w:p w:rsidR="007A004B" w:rsidRPr="0029403D" w:rsidRDefault="007A004B" w:rsidP="00140040">
            <w:pPr>
              <w:spacing w:before="40" w:after="40"/>
              <w:rPr>
                <w:sz w:val="22"/>
                <w:szCs w:val="22"/>
              </w:rPr>
            </w:pPr>
            <w:r>
              <w:rPr>
                <w:sz w:val="22"/>
                <w:szCs w:val="22"/>
              </w:rPr>
              <w:t>Акцизы</w:t>
            </w:r>
          </w:p>
        </w:tc>
        <w:tc>
          <w:tcPr>
            <w:tcW w:w="737" w:type="dxa"/>
            <w:vAlign w:val="center"/>
          </w:tcPr>
          <w:p w:rsidR="007A004B" w:rsidRPr="0029403D" w:rsidRDefault="007A004B" w:rsidP="00140040">
            <w:pPr>
              <w:spacing w:before="40" w:after="40"/>
              <w:jc w:val="center"/>
              <w:rPr>
                <w:sz w:val="22"/>
                <w:szCs w:val="22"/>
              </w:rPr>
            </w:pPr>
          </w:p>
        </w:tc>
        <w:tc>
          <w:tcPr>
            <w:tcW w:w="737" w:type="dxa"/>
            <w:vAlign w:val="center"/>
          </w:tcPr>
          <w:p w:rsidR="007A004B" w:rsidRPr="0029403D" w:rsidRDefault="007A004B" w:rsidP="00140040">
            <w:pPr>
              <w:spacing w:before="40" w:after="40"/>
              <w:jc w:val="center"/>
              <w:rPr>
                <w:sz w:val="22"/>
                <w:szCs w:val="22"/>
              </w:rPr>
            </w:pPr>
          </w:p>
        </w:tc>
        <w:tc>
          <w:tcPr>
            <w:tcW w:w="737" w:type="dxa"/>
            <w:vAlign w:val="center"/>
          </w:tcPr>
          <w:p w:rsidR="007A004B" w:rsidRPr="0029403D" w:rsidRDefault="007A004B" w:rsidP="00140040">
            <w:pPr>
              <w:spacing w:before="40" w:after="40"/>
              <w:jc w:val="center"/>
              <w:rPr>
                <w:sz w:val="22"/>
                <w:szCs w:val="22"/>
              </w:rPr>
            </w:pPr>
            <w:r>
              <w:rPr>
                <w:sz w:val="22"/>
                <w:szCs w:val="22"/>
              </w:rPr>
              <w:t>288,3</w:t>
            </w:r>
          </w:p>
        </w:tc>
        <w:tc>
          <w:tcPr>
            <w:tcW w:w="794" w:type="dxa"/>
            <w:vAlign w:val="center"/>
          </w:tcPr>
          <w:p w:rsidR="007A004B" w:rsidRPr="0029403D" w:rsidRDefault="007A004B" w:rsidP="00140040">
            <w:pPr>
              <w:spacing w:before="40" w:after="40"/>
              <w:jc w:val="center"/>
              <w:rPr>
                <w:sz w:val="22"/>
                <w:szCs w:val="22"/>
              </w:rPr>
            </w:pPr>
          </w:p>
        </w:tc>
        <w:tc>
          <w:tcPr>
            <w:tcW w:w="794" w:type="dxa"/>
            <w:vAlign w:val="center"/>
          </w:tcPr>
          <w:p w:rsidR="007A004B" w:rsidRPr="0029403D" w:rsidRDefault="007A004B" w:rsidP="00140040">
            <w:pPr>
              <w:spacing w:before="40" w:after="40"/>
              <w:jc w:val="center"/>
              <w:rPr>
                <w:sz w:val="22"/>
                <w:szCs w:val="22"/>
              </w:rPr>
            </w:pPr>
          </w:p>
        </w:tc>
        <w:tc>
          <w:tcPr>
            <w:tcW w:w="794" w:type="dxa"/>
            <w:vAlign w:val="center"/>
          </w:tcPr>
          <w:p w:rsidR="007A004B" w:rsidRPr="0029403D" w:rsidRDefault="007A004B" w:rsidP="00140040">
            <w:pPr>
              <w:spacing w:before="40" w:after="40"/>
              <w:jc w:val="center"/>
              <w:rPr>
                <w:sz w:val="22"/>
                <w:szCs w:val="22"/>
              </w:rPr>
            </w:pPr>
            <w:r>
              <w:rPr>
                <w:sz w:val="22"/>
                <w:szCs w:val="22"/>
              </w:rPr>
              <w:t>65,2%</w:t>
            </w:r>
          </w:p>
        </w:tc>
        <w:tc>
          <w:tcPr>
            <w:tcW w:w="1531" w:type="dxa"/>
            <w:vAlign w:val="center"/>
          </w:tcPr>
          <w:p w:rsidR="007A004B" w:rsidRPr="007928A5" w:rsidRDefault="007A004B" w:rsidP="00140040">
            <w:pPr>
              <w:spacing w:before="40" w:after="40"/>
              <w:jc w:val="center"/>
              <w:rPr>
                <w:sz w:val="22"/>
                <w:szCs w:val="22"/>
              </w:rPr>
            </w:pPr>
          </w:p>
        </w:tc>
        <w:tc>
          <w:tcPr>
            <w:tcW w:w="1417" w:type="dxa"/>
            <w:vAlign w:val="center"/>
          </w:tcPr>
          <w:p w:rsidR="007A004B" w:rsidRPr="007928A5" w:rsidRDefault="007A004B" w:rsidP="00140040">
            <w:pPr>
              <w:spacing w:before="40" w:after="40"/>
              <w:jc w:val="center"/>
              <w:rPr>
                <w:sz w:val="22"/>
                <w:szCs w:val="22"/>
              </w:rPr>
            </w:pPr>
          </w:p>
        </w:tc>
      </w:tr>
      <w:tr w:rsidR="007A004B" w:rsidRPr="0029403D" w:rsidTr="00222BC0">
        <w:trPr>
          <w:trHeight w:val="283"/>
        </w:trPr>
        <w:tc>
          <w:tcPr>
            <w:tcW w:w="2211" w:type="dxa"/>
          </w:tcPr>
          <w:p w:rsidR="007A004B" w:rsidRPr="0029403D" w:rsidRDefault="007A004B" w:rsidP="00140040">
            <w:pPr>
              <w:spacing w:before="40" w:after="40"/>
              <w:rPr>
                <w:sz w:val="22"/>
                <w:szCs w:val="22"/>
              </w:rPr>
            </w:pPr>
            <w:r w:rsidRPr="0029403D">
              <w:rPr>
                <w:sz w:val="22"/>
                <w:szCs w:val="22"/>
              </w:rPr>
              <w:t>Единый с/х налог</w:t>
            </w:r>
          </w:p>
        </w:tc>
        <w:tc>
          <w:tcPr>
            <w:tcW w:w="737" w:type="dxa"/>
            <w:vAlign w:val="center"/>
          </w:tcPr>
          <w:p w:rsidR="007A004B" w:rsidRPr="0029403D" w:rsidRDefault="007A004B" w:rsidP="00140040">
            <w:pPr>
              <w:spacing w:before="40" w:after="40"/>
              <w:jc w:val="center"/>
              <w:rPr>
                <w:sz w:val="22"/>
                <w:szCs w:val="22"/>
              </w:rPr>
            </w:pPr>
            <w:r>
              <w:rPr>
                <w:sz w:val="22"/>
                <w:szCs w:val="22"/>
              </w:rPr>
              <w:t>10,8</w:t>
            </w:r>
          </w:p>
        </w:tc>
        <w:tc>
          <w:tcPr>
            <w:tcW w:w="737" w:type="dxa"/>
            <w:vAlign w:val="center"/>
          </w:tcPr>
          <w:p w:rsidR="007A004B" w:rsidRPr="0029403D" w:rsidRDefault="007A004B" w:rsidP="00140040">
            <w:pPr>
              <w:spacing w:before="40" w:after="40"/>
              <w:jc w:val="center"/>
              <w:rPr>
                <w:sz w:val="22"/>
                <w:szCs w:val="22"/>
              </w:rPr>
            </w:pPr>
            <w:r>
              <w:rPr>
                <w:sz w:val="22"/>
                <w:szCs w:val="22"/>
              </w:rPr>
              <w:t>1,7</w:t>
            </w:r>
          </w:p>
        </w:tc>
        <w:tc>
          <w:tcPr>
            <w:tcW w:w="737" w:type="dxa"/>
            <w:vAlign w:val="center"/>
          </w:tcPr>
          <w:p w:rsidR="007A004B" w:rsidRPr="0029403D" w:rsidRDefault="007A004B" w:rsidP="00140040">
            <w:pPr>
              <w:spacing w:before="40" w:after="40"/>
              <w:jc w:val="center"/>
              <w:rPr>
                <w:sz w:val="22"/>
                <w:szCs w:val="22"/>
              </w:rPr>
            </w:pPr>
            <w:r>
              <w:rPr>
                <w:sz w:val="22"/>
                <w:szCs w:val="22"/>
              </w:rPr>
              <w:t>1,6</w:t>
            </w:r>
          </w:p>
        </w:tc>
        <w:tc>
          <w:tcPr>
            <w:tcW w:w="794" w:type="dxa"/>
            <w:vAlign w:val="center"/>
          </w:tcPr>
          <w:p w:rsidR="007A004B" w:rsidRPr="0029403D" w:rsidRDefault="007A004B" w:rsidP="00140040">
            <w:pPr>
              <w:spacing w:before="40" w:after="40"/>
              <w:jc w:val="center"/>
              <w:rPr>
                <w:sz w:val="22"/>
                <w:szCs w:val="22"/>
              </w:rPr>
            </w:pPr>
            <w:r>
              <w:rPr>
                <w:sz w:val="22"/>
                <w:szCs w:val="22"/>
              </w:rPr>
              <w:t>6,5</w:t>
            </w:r>
            <w:r w:rsidRPr="0029403D">
              <w:rPr>
                <w:sz w:val="22"/>
                <w:szCs w:val="22"/>
              </w:rPr>
              <w:t>%</w:t>
            </w:r>
          </w:p>
        </w:tc>
        <w:tc>
          <w:tcPr>
            <w:tcW w:w="794" w:type="dxa"/>
            <w:vAlign w:val="center"/>
          </w:tcPr>
          <w:p w:rsidR="007A004B" w:rsidRPr="0029403D" w:rsidRDefault="007A004B" w:rsidP="00140040">
            <w:pPr>
              <w:spacing w:before="40" w:after="40"/>
              <w:jc w:val="center"/>
              <w:rPr>
                <w:sz w:val="22"/>
                <w:szCs w:val="22"/>
              </w:rPr>
            </w:pPr>
            <w:r>
              <w:rPr>
                <w:sz w:val="22"/>
                <w:szCs w:val="22"/>
              </w:rPr>
              <w:t>1,2%</w:t>
            </w:r>
          </w:p>
        </w:tc>
        <w:tc>
          <w:tcPr>
            <w:tcW w:w="794" w:type="dxa"/>
            <w:vAlign w:val="center"/>
          </w:tcPr>
          <w:p w:rsidR="007A004B" w:rsidRPr="0029403D" w:rsidRDefault="007A004B" w:rsidP="00140040">
            <w:pPr>
              <w:spacing w:before="40" w:after="40"/>
              <w:jc w:val="center"/>
              <w:rPr>
                <w:sz w:val="22"/>
                <w:szCs w:val="22"/>
              </w:rPr>
            </w:pPr>
            <w:r>
              <w:rPr>
                <w:sz w:val="22"/>
                <w:szCs w:val="22"/>
              </w:rPr>
              <w:t>0,4%</w:t>
            </w:r>
          </w:p>
        </w:tc>
        <w:tc>
          <w:tcPr>
            <w:tcW w:w="1531" w:type="dxa"/>
            <w:vAlign w:val="center"/>
          </w:tcPr>
          <w:p w:rsidR="007A004B" w:rsidRPr="007928A5" w:rsidRDefault="007A004B" w:rsidP="00140040">
            <w:pPr>
              <w:spacing w:before="40" w:after="40"/>
              <w:jc w:val="center"/>
              <w:rPr>
                <w:sz w:val="22"/>
                <w:szCs w:val="22"/>
              </w:rPr>
            </w:pPr>
            <w:r>
              <w:rPr>
                <w:sz w:val="22"/>
                <w:szCs w:val="22"/>
              </w:rPr>
              <w:t>-9,1 / -84,3%</w:t>
            </w:r>
          </w:p>
        </w:tc>
        <w:tc>
          <w:tcPr>
            <w:tcW w:w="1417" w:type="dxa"/>
            <w:vAlign w:val="center"/>
          </w:tcPr>
          <w:p w:rsidR="007A004B" w:rsidRPr="007928A5" w:rsidRDefault="007A004B" w:rsidP="00140040">
            <w:pPr>
              <w:spacing w:before="40" w:after="40"/>
              <w:jc w:val="center"/>
              <w:rPr>
                <w:sz w:val="22"/>
                <w:szCs w:val="22"/>
              </w:rPr>
            </w:pPr>
            <w:r>
              <w:rPr>
                <w:sz w:val="22"/>
                <w:szCs w:val="22"/>
              </w:rPr>
              <w:t>-0,1 / -5,9%</w:t>
            </w:r>
          </w:p>
        </w:tc>
      </w:tr>
      <w:tr w:rsidR="007A004B" w:rsidRPr="0029403D" w:rsidTr="00222BC0">
        <w:tc>
          <w:tcPr>
            <w:tcW w:w="2211" w:type="dxa"/>
          </w:tcPr>
          <w:p w:rsidR="007A004B" w:rsidRPr="0029403D" w:rsidRDefault="007A004B" w:rsidP="00877B5F">
            <w:pPr>
              <w:rPr>
                <w:sz w:val="22"/>
                <w:szCs w:val="22"/>
              </w:rPr>
            </w:pPr>
            <w:r w:rsidRPr="0029403D">
              <w:rPr>
                <w:sz w:val="22"/>
                <w:szCs w:val="22"/>
              </w:rPr>
              <w:t>Налог на имущество физических лиц</w:t>
            </w:r>
          </w:p>
        </w:tc>
        <w:tc>
          <w:tcPr>
            <w:tcW w:w="737" w:type="dxa"/>
            <w:vAlign w:val="center"/>
          </w:tcPr>
          <w:p w:rsidR="007A004B" w:rsidRPr="0029403D" w:rsidRDefault="007A004B" w:rsidP="00AA4083">
            <w:pPr>
              <w:jc w:val="center"/>
              <w:rPr>
                <w:sz w:val="22"/>
                <w:szCs w:val="22"/>
              </w:rPr>
            </w:pPr>
            <w:r>
              <w:rPr>
                <w:sz w:val="22"/>
                <w:szCs w:val="22"/>
              </w:rPr>
              <w:t>6,3</w:t>
            </w:r>
          </w:p>
        </w:tc>
        <w:tc>
          <w:tcPr>
            <w:tcW w:w="737" w:type="dxa"/>
            <w:vAlign w:val="center"/>
          </w:tcPr>
          <w:p w:rsidR="007A004B" w:rsidRPr="0029403D" w:rsidRDefault="007A004B" w:rsidP="00AA4083">
            <w:pPr>
              <w:jc w:val="center"/>
              <w:rPr>
                <w:sz w:val="22"/>
                <w:szCs w:val="22"/>
              </w:rPr>
            </w:pPr>
            <w:r>
              <w:rPr>
                <w:sz w:val="22"/>
                <w:szCs w:val="22"/>
              </w:rPr>
              <w:t>3,5</w:t>
            </w:r>
          </w:p>
        </w:tc>
        <w:tc>
          <w:tcPr>
            <w:tcW w:w="737" w:type="dxa"/>
            <w:vAlign w:val="center"/>
          </w:tcPr>
          <w:p w:rsidR="007A004B" w:rsidRPr="0029403D" w:rsidRDefault="007A004B" w:rsidP="00877B5F">
            <w:pPr>
              <w:jc w:val="center"/>
              <w:rPr>
                <w:sz w:val="22"/>
                <w:szCs w:val="22"/>
              </w:rPr>
            </w:pPr>
            <w:r>
              <w:rPr>
                <w:sz w:val="22"/>
                <w:szCs w:val="22"/>
              </w:rPr>
              <w:t>4,5</w:t>
            </w:r>
          </w:p>
        </w:tc>
        <w:tc>
          <w:tcPr>
            <w:tcW w:w="794" w:type="dxa"/>
            <w:vAlign w:val="center"/>
          </w:tcPr>
          <w:p w:rsidR="007A004B" w:rsidRPr="0029403D" w:rsidRDefault="007A004B" w:rsidP="00AA4083">
            <w:pPr>
              <w:jc w:val="center"/>
              <w:rPr>
                <w:sz w:val="22"/>
                <w:szCs w:val="22"/>
              </w:rPr>
            </w:pPr>
            <w:r>
              <w:rPr>
                <w:sz w:val="22"/>
                <w:szCs w:val="22"/>
              </w:rPr>
              <w:t>3,8</w:t>
            </w:r>
            <w:r w:rsidRPr="0029403D">
              <w:rPr>
                <w:sz w:val="22"/>
                <w:szCs w:val="22"/>
              </w:rPr>
              <w:t>%</w:t>
            </w:r>
          </w:p>
        </w:tc>
        <w:tc>
          <w:tcPr>
            <w:tcW w:w="794" w:type="dxa"/>
            <w:vAlign w:val="center"/>
          </w:tcPr>
          <w:p w:rsidR="007A004B" w:rsidRPr="0029403D" w:rsidRDefault="007A004B" w:rsidP="00AA4083">
            <w:pPr>
              <w:jc w:val="center"/>
              <w:rPr>
                <w:sz w:val="22"/>
                <w:szCs w:val="22"/>
              </w:rPr>
            </w:pPr>
            <w:r>
              <w:rPr>
                <w:sz w:val="22"/>
                <w:szCs w:val="22"/>
              </w:rPr>
              <w:t>2,4%</w:t>
            </w:r>
          </w:p>
        </w:tc>
        <w:tc>
          <w:tcPr>
            <w:tcW w:w="794" w:type="dxa"/>
            <w:vAlign w:val="center"/>
          </w:tcPr>
          <w:p w:rsidR="007A004B" w:rsidRPr="0029403D" w:rsidRDefault="007A004B" w:rsidP="00877B5F">
            <w:pPr>
              <w:jc w:val="center"/>
              <w:rPr>
                <w:sz w:val="22"/>
                <w:szCs w:val="22"/>
              </w:rPr>
            </w:pPr>
            <w:r>
              <w:rPr>
                <w:sz w:val="22"/>
                <w:szCs w:val="22"/>
              </w:rPr>
              <w:t>1,0%</w:t>
            </w:r>
          </w:p>
        </w:tc>
        <w:tc>
          <w:tcPr>
            <w:tcW w:w="1531" w:type="dxa"/>
            <w:vAlign w:val="center"/>
          </w:tcPr>
          <w:p w:rsidR="007A004B" w:rsidRPr="007928A5" w:rsidRDefault="007A004B" w:rsidP="00AA4083">
            <w:pPr>
              <w:jc w:val="center"/>
              <w:rPr>
                <w:sz w:val="22"/>
                <w:szCs w:val="22"/>
              </w:rPr>
            </w:pPr>
            <w:r>
              <w:rPr>
                <w:sz w:val="22"/>
                <w:szCs w:val="22"/>
              </w:rPr>
              <w:t>-2,8 / -44,4%</w:t>
            </w:r>
          </w:p>
        </w:tc>
        <w:tc>
          <w:tcPr>
            <w:tcW w:w="1417" w:type="dxa"/>
            <w:vAlign w:val="center"/>
          </w:tcPr>
          <w:p w:rsidR="007A004B" w:rsidRPr="007928A5" w:rsidRDefault="007A004B" w:rsidP="007A004B">
            <w:pPr>
              <w:jc w:val="center"/>
              <w:rPr>
                <w:sz w:val="22"/>
                <w:szCs w:val="22"/>
              </w:rPr>
            </w:pPr>
            <w:r>
              <w:rPr>
                <w:sz w:val="22"/>
                <w:szCs w:val="22"/>
              </w:rPr>
              <w:t>1,0 / 28,6%</w:t>
            </w:r>
          </w:p>
        </w:tc>
      </w:tr>
      <w:tr w:rsidR="007A004B" w:rsidRPr="0029403D" w:rsidTr="00222BC0">
        <w:trPr>
          <w:trHeight w:val="283"/>
        </w:trPr>
        <w:tc>
          <w:tcPr>
            <w:tcW w:w="2211" w:type="dxa"/>
          </w:tcPr>
          <w:p w:rsidR="007A004B" w:rsidRPr="0029403D" w:rsidRDefault="007A004B" w:rsidP="00140040">
            <w:pPr>
              <w:spacing w:before="40" w:after="40"/>
              <w:jc w:val="both"/>
              <w:rPr>
                <w:sz w:val="22"/>
                <w:szCs w:val="22"/>
              </w:rPr>
            </w:pPr>
            <w:r w:rsidRPr="0029403D">
              <w:rPr>
                <w:sz w:val="22"/>
                <w:szCs w:val="22"/>
              </w:rPr>
              <w:t>Земельный налог</w:t>
            </w:r>
          </w:p>
        </w:tc>
        <w:tc>
          <w:tcPr>
            <w:tcW w:w="737" w:type="dxa"/>
            <w:vAlign w:val="center"/>
          </w:tcPr>
          <w:p w:rsidR="007A004B" w:rsidRPr="0029403D" w:rsidRDefault="007A004B" w:rsidP="00140040">
            <w:pPr>
              <w:spacing w:before="40" w:after="40"/>
              <w:jc w:val="center"/>
              <w:rPr>
                <w:sz w:val="22"/>
                <w:szCs w:val="22"/>
              </w:rPr>
            </w:pPr>
            <w:r>
              <w:rPr>
                <w:sz w:val="22"/>
                <w:szCs w:val="22"/>
              </w:rPr>
              <w:t>4,3</w:t>
            </w:r>
          </w:p>
        </w:tc>
        <w:tc>
          <w:tcPr>
            <w:tcW w:w="737" w:type="dxa"/>
            <w:vAlign w:val="center"/>
          </w:tcPr>
          <w:p w:rsidR="007A004B" w:rsidRPr="0029403D" w:rsidRDefault="007A004B" w:rsidP="00140040">
            <w:pPr>
              <w:spacing w:before="40" w:after="40"/>
              <w:jc w:val="center"/>
              <w:rPr>
                <w:sz w:val="22"/>
                <w:szCs w:val="22"/>
              </w:rPr>
            </w:pPr>
            <w:r>
              <w:rPr>
                <w:sz w:val="22"/>
                <w:szCs w:val="22"/>
              </w:rPr>
              <w:t>5,7</w:t>
            </w:r>
          </w:p>
        </w:tc>
        <w:tc>
          <w:tcPr>
            <w:tcW w:w="737" w:type="dxa"/>
            <w:vAlign w:val="center"/>
          </w:tcPr>
          <w:p w:rsidR="007A004B" w:rsidRPr="0029403D" w:rsidRDefault="007A004B" w:rsidP="00140040">
            <w:pPr>
              <w:spacing w:before="40" w:after="40"/>
              <w:jc w:val="center"/>
              <w:rPr>
                <w:sz w:val="22"/>
                <w:szCs w:val="22"/>
              </w:rPr>
            </w:pPr>
            <w:r>
              <w:rPr>
                <w:sz w:val="22"/>
                <w:szCs w:val="22"/>
              </w:rPr>
              <w:t>9,0</w:t>
            </w:r>
          </w:p>
        </w:tc>
        <w:tc>
          <w:tcPr>
            <w:tcW w:w="794" w:type="dxa"/>
            <w:vAlign w:val="center"/>
          </w:tcPr>
          <w:p w:rsidR="007A004B" w:rsidRPr="0029403D" w:rsidRDefault="007A004B" w:rsidP="00140040">
            <w:pPr>
              <w:spacing w:before="40" w:after="40"/>
              <w:jc w:val="center"/>
              <w:rPr>
                <w:sz w:val="22"/>
                <w:szCs w:val="22"/>
              </w:rPr>
            </w:pPr>
            <w:r>
              <w:rPr>
                <w:sz w:val="22"/>
                <w:szCs w:val="22"/>
              </w:rPr>
              <w:t>2,6</w:t>
            </w:r>
            <w:r w:rsidRPr="0029403D">
              <w:rPr>
                <w:sz w:val="22"/>
                <w:szCs w:val="22"/>
              </w:rPr>
              <w:t>%</w:t>
            </w:r>
          </w:p>
        </w:tc>
        <w:tc>
          <w:tcPr>
            <w:tcW w:w="794" w:type="dxa"/>
            <w:vAlign w:val="center"/>
          </w:tcPr>
          <w:p w:rsidR="007A004B" w:rsidRPr="0029403D" w:rsidRDefault="007A004B" w:rsidP="00140040">
            <w:pPr>
              <w:spacing w:before="40" w:after="40"/>
              <w:jc w:val="center"/>
              <w:rPr>
                <w:sz w:val="22"/>
                <w:szCs w:val="22"/>
              </w:rPr>
            </w:pPr>
            <w:r>
              <w:rPr>
                <w:sz w:val="22"/>
                <w:szCs w:val="22"/>
              </w:rPr>
              <w:t>4,0%</w:t>
            </w:r>
          </w:p>
        </w:tc>
        <w:tc>
          <w:tcPr>
            <w:tcW w:w="794" w:type="dxa"/>
            <w:vAlign w:val="center"/>
          </w:tcPr>
          <w:p w:rsidR="007A004B" w:rsidRPr="0029403D" w:rsidRDefault="007A004B" w:rsidP="00140040">
            <w:pPr>
              <w:spacing w:before="40" w:after="40"/>
              <w:jc w:val="center"/>
              <w:rPr>
                <w:sz w:val="22"/>
                <w:szCs w:val="22"/>
              </w:rPr>
            </w:pPr>
            <w:r>
              <w:rPr>
                <w:sz w:val="22"/>
                <w:szCs w:val="22"/>
              </w:rPr>
              <w:t>2,0%</w:t>
            </w:r>
          </w:p>
        </w:tc>
        <w:tc>
          <w:tcPr>
            <w:tcW w:w="1531" w:type="dxa"/>
            <w:vAlign w:val="center"/>
          </w:tcPr>
          <w:p w:rsidR="007A004B" w:rsidRPr="007928A5" w:rsidRDefault="007A004B" w:rsidP="00140040">
            <w:pPr>
              <w:spacing w:before="40" w:after="40"/>
              <w:jc w:val="center"/>
              <w:rPr>
                <w:sz w:val="22"/>
                <w:szCs w:val="22"/>
              </w:rPr>
            </w:pPr>
            <w:r>
              <w:rPr>
                <w:sz w:val="22"/>
                <w:szCs w:val="22"/>
              </w:rPr>
              <w:t>1,4 / 32,6%</w:t>
            </w:r>
          </w:p>
        </w:tc>
        <w:tc>
          <w:tcPr>
            <w:tcW w:w="1417" w:type="dxa"/>
            <w:vAlign w:val="center"/>
          </w:tcPr>
          <w:p w:rsidR="007A004B" w:rsidRPr="007928A5" w:rsidRDefault="007A004B" w:rsidP="00140040">
            <w:pPr>
              <w:spacing w:before="40" w:after="40"/>
              <w:jc w:val="center"/>
              <w:rPr>
                <w:sz w:val="22"/>
                <w:szCs w:val="22"/>
              </w:rPr>
            </w:pPr>
            <w:r>
              <w:rPr>
                <w:sz w:val="22"/>
                <w:szCs w:val="22"/>
              </w:rPr>
              <w:t>3,3 / 57,9%</w:t>
            </w:r>
          </w:p>
        </w:tc>
      </w:tr>
      <w:tr w:rsidR="007A004B" w:rsidRPr="0029403D" w:rsidTr="00222BC0">
        <w:tc>
          <w:tcPr>
            <w:tcW w:w="2211" w:type="dxa"/>
          </w:tcPr>
          <w:p w:rsidR="007A004B" w:rsidRPr="0029403D" w:rsidRDefault="007A004B" w:rsidP="00877B5F">
            <w:pPr>
              <w:rPr>
                <w:b/>
                <w:sz w:val="22"/>
                <w:szCs w:val="22"/>
              </w:rPr>
            </w:pPr>
            <w:r w:rsidRPr="0029403D">
              <w:rPr>
                <w:b/>
                <w:sz w:val="22"/>
                <w:szCs w:val="22"/>
              </w:rPr>
              <w:t>Итого налоговых доходов</w:t>
            </w:r>
          </w:p>
        </w:tc>
        <w:tc>
          <w:tcPr>
            <w:tcW w:w="737" w:type="dxa"/>
            <w:vAlign w:val="center"/>
          </w:tcPr>
          <w:p w:rsidR="007A004B" w:rsidRPr="0029403D" w:rsidRDefault="007A004B" w:rsidP="00AA4083">
            <w:pPr>
              <w:jc w:val="center"/>
              <w:rPr>
                <w:b/>
                <w:sz w:val="22"/>
                <w:szCs w:val="22"/>
              </w:rPr>
            </w:pPr>
            <w:r>
              <w:rPr>
                <w:b/>
                <w:sz w:val="22"/>
                <w:szCs w:val="22"/>
              </w:rPr>
              <w:t>166,1</w:t>
            </w:r>
          </w:p>
        </w:tc>
        <w:tc>
          <w:tcPr>
            <w:tcW w:w="737" w:type="dxa"/>
            <w:vAlign w:val="center"/>
          </w:tcPr>
          <w:p w:rsidR="007A004B" w:rsidRPr="0029403D" w:rsidRDefault="007A004B" w:rsidP="00AA4083">
            <w:pPr>
              <w:jc w:val="center"/>
              <w:rPr>
                <w:b/>
                <w:sz w:val="22"/>
                <w:szCs w:val="22"/>
              </w:rPr>
            </w:pPr>
            <w:r>
              <w:rPr>
                <w:b/>
                <w:sz w:val="22"/>
                <w:szCs w:val="22"/>
              </w:rPr>
              <w:t>143,6</w:t>
            </w:r>
          </w:p>
        </w:tc>
        <w:tc>
          <w:tcPr>
            <w:tcW w:w="737" w:type="dxa"/>
            <w:vAlign w:val="center"/>
          </w:tcPr>
          <w:p w:rsidR="007A004B" w:rsidRPr="0029403D" w:rsidRDefault="007A004B" w:rsidP="00877B5F">
            <w:pPr>
              <w:jc w:val="center"/>
              <w:rPr>
                <w:b/>
                <w:sz w:val="22"/>
                <w:szCs w:val="22"/>
              </w:rPr>
            </w:pPr>
            <w:r>
              <w:rPr>
                <w:b/>
                <w:sz w:val="22"/>
                <w:szCs w:val="22"/>
              </w:rPr>
              <w:t>442,1</w:t>
            </w:r>
          </w:p>
        </w:tc>
        <w:tc>
          <w:tcPr>
            <w:tcW w:w="794" w:type="dxa"/>
            <w:vAlign w:val="center"/>
          </w:tcPr>
          <w:p w:rsidR="007A004B" w:rsidRPr="0029403D" w:rsidRDefault="007A004B" w:rsidP="00877B5F">
            <w:pPr>
              <w:jc w:val="center"/>
              <w:rPr>
                <w:b/>
                <w:sz w:val="22"/>
                <w:szCs w:val="22"/>
              </w:rPr>
            </w:pPr>
            <w:r w:rsidRPr="0029403D">
              <w:rPr>
                <w:b/>
                <w:sz w:val="22"/>
                <w:szCs w:val="22"/>
              </w:rPr>
              <w:t>100%</w:t>
            </w:r>
          </w:p>
        </w:tc>
        <w:tc>
          <w:tcPr>
            <w:tcW w:w="794" w:type="dxa"/>
            <w:vAlign w:val="center"/>
          </w:tcPr>
          <w:p w:rsidR="007A004B" w:rsidRPr="0029403D" w:rsidRDefault="007A004B" w:rsidP="00877B5F">
            <w:pPr>
              <w:jc w:val="center"/>
              <w:rPr>
                <w:b/>
                <w:sz w:val="22"/>
                <w:szCs w:val="22"/>
              </w:rPr>
            </w:pPr>
            <w:r w:rsidRPr="0029403D">
              <w:rPr>
                <w:b/>
                <w:sz w:val="22"/>
                <w:szCs w:val="22"/>
              </w:rPr>
              <w:t>100%</w:t>
            </w:r>
          </w:p>
        </w:tc>
        <w:tc>
          <w:tcPr>
            <w:tcW w:w="794" w:type="dxa"/>
            <w:vAlign w:val="center"/>
          </w:tcPr>
          <w:p w:rsidR="007A004B" w:rsidRPr="0029403D" w:rsidRDefault="007A004B" w:rsidP="00877B5F">
            <w:pPr>
              <w:jc w:val="center"/>
              <w:rPr>
                <w:b/>
                <w:sz w:val="22"/>
                <w:szCs w:val="22"/>
              </w:rPr>
            </w:pPr>
            <w:r w:rsidRPr="0029403D">
              <w:rPr>
                <w:b/>
                <w:sz w:val="22"/>
                <w:szCs w:val="22"/>
              </w:rPr>
              <w:t>100%</w:t>
            </w:r>
          </w:p>
        </w:tc>
        <w:tc>
          <w:tcPr>
            <w:tcW w:w="1531" w:type="dxa"/>
            <w:vAlign w:val="center"/>
          </w:tcPr>
          <w:p w:rsidR="007A004B" w:rsidRPr="007928A5" w:rsidRDefault="007A004B" w:rsidP="00AA4083">
            <w:pPr>
              <w:jc w:val="center"/>
              <w:rPr>
                <w:b/>
                <w:sz w:val="22"/>
                <w:szCs w:val="22"/>
              </w:rPr>
            </w:pPr>
            <w:r>
              <w:rPr>
                <w:b/>
                <w:sz w:val="22"/>
                <w:szCs w:val="22"/>
              </w:rPr>
              <w:t>-22,5 / -13,5%</w:t>
            </w:r>
          </w:p>
        </w:tc>
        <w:tc>
          <w:tcPr>
            <w:tcW w:w="1417" w:type="dxa"/>
            <w:vAlign w:val="center"/>
          </w:tcPr>
          <w:p w:rsidR="007A004B" w:rsidRPr="007928A5" w:rsidRDefault="007A004B" w:rsidP="007A004B">
            <w:pPr>
              <w:jc w:val="center"/>
              <w:rPr>
                <w:b/>
                <w:sz w:val="22"/>
                <w:szCs w:val="22"/>
              </w:rPr>
            </w:pPr>
            <w:r>
              <w:rPr>
                <w:b/>
                <w:sz w:val="22"/>
                <w:szCs w:val="22"/>
              </w:rPr>
              <w:t>298,5 / 207,9%</w:t>
            </w:r>
          </w:p>
        </w:tc>
      </w:tr>
    </w:tbl>
    <w:p w:rsidR="00140040" w:rsidRPr="00F12520" w:rsidRDefault="00140040" w:rsidP="00140040">
      <w:pPr>
        <w:spacing w:before="80"/>
        <w:ind w:firstLine="567"/>
        <w:jc w:val="both"/>
        <w:rPr>
          <w:bCs/>
          <w:iCs/>
        </w:rPr>
      </w:pPr>
      <w:r>
        <w:rPr>
          <w:bCs/>
          <w:iCs/>
        </w:rPr>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Pr="000B6B29">
        <w:rPr>
          <w:bCs/>
          <w:iCs/>
        </w:rPr>
        <w:t>.</w:t>
      </w:r>
    </w:p>
    <w:p w:rsidR="00551F5B" w:rsidRDefault="00551F5B" w:rsidP="00551F5B">
      <w:pPr>
        <w:spacing w:before="120"/>
        <w:ind w:firstLine="567"/>
        <w:jc w:val="both"/>
      </w:pPr>
      <w:r w:rsidRPr="0029403D">
        <w:rPr>
          <w:b/>
          <w:bCs/>
          <w:iCs/>
        </w:rPr>
        <w:lastRenderedPageBreak/>
        <w:t>Н</w:t>
      </w:r>
      <w:r w:rsidR="001A6010" w:rsidRPr="0029403D">
        <w:rPr>
          <w:b/>
          <w:bCs/>
          <w:iCs/>
        </w:rPr>
        <w:t>ен</w:t>
      </w:r>
      <w:r w:rsidRPr="0029403D">
        <w:rPr>
          <w:b/>
          <w:bCs/>
          <w:iCs/>
        </w:rPr>
        <w:t>алоговые доходы</w:t>
      </w:r>
      <w:r w:rsidRPr="0029403D">
        <w:rPr>
          <w:bCs/>
          <w:iCs/>
        </w:rPr>
        <w:t xml:space="preserve"> местного бюджета за </w:t>
      </w:r>
      <w:r w:rsidR="001043B8">
        <w:rPr>
          <w:bCs/>
          <w:iCs/>
        </w:rPr>
        <w:t>2015</w:t>
      </w:r>
      <w:r w:rsidRPr="0029403D">
        <w:rPr>
          <w:bCs/>
          <w:iCs/>
        </w:rPr>
        <w:t xml:space="preserve"> год исполнены в объеме </w:t>
      </w:r>
      <w:r w:rsidR="00140040">
        <w:rPr>
          <w:bCs/>
          <w:iCs/>
        </w:rPr>
        <w:t>141,7</w:t>
      </w:r>
      <w:r w:rsidRPr="0029403D">
        <w:rPr>
          <w:bCs/>
          <w:iCs/>
        </w:rPr>
        <w:t xml:space="preserve"> тыс. руб. или </w:t>
      </w:r>
      <w:r w:rsidR="00140040">
        <w:rPr>
          <w:bCs/>
          <w:iCs/>
        </w:rPr>
        <w:t>100</w:t>
      </w:r>
      <w:r w:rsidRPr="0029403D">
        <w:rPr>
          <w:bCs/>
          <w:iCs/>
        </w:rPr>
        <w:t>% от плановых назначений</w:t>
      </w:r>
      <w:r w:rsidR="00140040">
        <w:t>.</w:t>
      </w:r>
    </w:p>
    <w:p w:rsidR="00BE7D9D" w:rsidRDefault="00BE7D9D" w:rsidP="000E591C">
      <w:pPr>
        <w:spacing w:before="60"/>
        <w:ind w:firstLine="567"/>
        <w:jc w:val="both"/>
      </w:pPr>
      <w:r w:rsidRPr="0029403D">
        <w:t xml:space="preserve">Подробный анализ поступления </w:t>
      </w:r>
      <w:r w:rsidR="00581EFA">
        <w:t>не</w:t>
      </w:r>
      <w:r w:rsidRPr="0029403D">
        <w:t xml:space="preserve">налоговых доходов представлен в таблице </w:t>
      </w:r>
      <w:r>
        <w:t>2</w:t>
      </w:r>
      <w:r w:rsidRPr="0029403D">
        <w:t>.</w:t>
      </w:r>
    </w:p>
    <w:p w:rsidR="00D452D7" w:rsidRPr="000D210C" w:rsidRDefault="00D452D7" w:rsidP="00D452D7">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37"/>
        <w:gridCol w:w="737"/>
        <w:gridCol w:w="737"/>
        <w:gridCol w:w="794"/>
        <w:gridCol w:w="794"/>
        <w:gridCol w:w="794"/>
        <w:gridCol w:w="1531"/>
        <w:gridCol w:w="1644"/>
      </w:tblGrid>
      <w:tr w:rsidR="00D452D7" w:rsidRPr="0029403D" w:rsidTr="00851CBE">
        <w:trPr>
          <w:trHeight w:val="528"/>
        </w:trPr>
        <w:tc>
          <w:tcPr>
            <w:tcW w:w="2098" w:type="dxa"/>
            <w:vMerge w:val="restart"/>
            <w:vAlign w:val="center"/>
          </w:tcPr>
          <w:p w:rsidR="00D452D7" w:rsidRPr="0029403D" w:rsidRDefault="00D452D7" w:rsidP="00214D1D">
            <w:pPr>
              <w:rPr>
                <w:i/>
                <w:sz w:val="20"/>
                <w:szCs w:val="20"/>
              </w:rPr>
            </w:pPr>
            <w:r w:rsidRPr="0029403D">
              <w:rPr>
                <w:i/>
                <w:sz w:val="20"/>
                <w:szCs w:val="20"/>
              </w:rPr>
              <w:t>Наименования дохода</w:t>
            </w:r>
          </w:p>
        </w:tc>
        <w:tc>
          <w:tcPr>
            <w:tcW w:w="2211" w:type="dxa"/>
            <w:gridSpan w:val="3"/>
            <w:vAlign w:val="center"/>
          </w:tcPr>
          <w:p w:rsidR="00D452D7" w:rsidRPr="0029403D" w:rsidRDefault="00D452D7" w:rsidP="00214D1D">
            <w:pPr>
              <w:jc w:val="center"/>
              <w:rPr>
                <w:i/>
                <w:sz w:val="20"/>
                <w:szCs w:val="20"/>
              </w:rPr>
            </w:pPr>
            <w:r w:rsidRPr="0029403D">
              <w:rPr>
                <w:i/>
                <w:sz w:val="20"/>
                <w:szCs w:val="20"/>
              </w:rPr>
              <w:t>Исполнение бюджета</w:t>
            </w:r>
          </w:p>
        </w:tc>
        <w:tc>
          <w:tcPr>
            <w:tcW w:w="2382" w:type="dxa"/>
            <w:gridSpan w:val="3"/>
          </w:tcPr>
          <w:p w:rsidR="00D452D7" w:rsidRPr="0029403D" w:rsidRDefault="00D452D7" w:rsidP="00214D1D">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175" w:type="dxa"/>
            <w:gridSpan w:val="2"/>
            <w:vAlign w:val="center"/>
          </w:tcPr>
          <w:p w:rsidR="00D452D7" w:rsidRPr="0029403D" w:rsidRDefault="00D452D7" w:rsidP="00ED23C5">
            <w:pPr>
              <w:jc w:val="center"/>
              <w:rPr>
                <w:i/>
                <w:sz w:val="20"/>
                <w:szCs w:val="20"/>
              </w:rPr>
            </w:pPr>
            <w:r w:rsidRPr="0029403D">
              <w:rPr>
                <w:i/>
                <w:sz w:val="20"/>
                <w:szCs w:val="20"/>
              </w:rPr>
              <w:t>Абсолютный прирост (тыс. руб./проценты)</w:t>
            </w:r>
          </w:p>
        </w:tc>
      </w:tr>
      <w:tr w:rsidR="00D452D7" w:rsidRPr="0029403D" w:rsidTr="00140040">
        <w:trPr>
          <w:trHeight w:val="301"/>
        </w:trPr>
        <w:tc>
          <w:tcPr>
            <w:tcW w:w="2098" w:type="dxa"/>
            <w:vMerge/>
            <w:vAlign w:val="center"/>
          </w:tcPr>
          <w:p w:rsidR="00D452D7" w:rsidRPr="0029403D" w:rsidRDefault="00D452D7" w:rsidP="00214D1D">
            <w:pPr>
              <w:rPr>
                <w:i/>
                <w:sz w:val="20"/>
                <w:szCs w:val="20"/>
              </w:rPr>
            </w:pPr>
          </w:p>
        </w:tc>
        <w:tc>
          <w:tcPr>
            <w:tcW w:w="737" w:type="dxa"/>
            <w:vAlign w:val="center"/>
          </w:tcPr>
          <w:p w:rsidR="00D452D7" w:rsidRPr="0029403D" w:rsidRDefault="001043B8" w:rsidP="00214D1D">
            <w:pPr>
              <w:jc w:val="center"/>
              <w:rPr>
                <w:i/>
                <w:sz w:val="20"/>
                <w:szCs w:val="20"/>
              </w:rPr>
            </w:pPr>
            <w:r>
              <w:rPr>
                <w:i/>
                <w:sz w:val="20"/>
                <w:szCs w:val="20"/>
              </w:rPr>
              <w:t>2013</w:t>
            </w:r>
          </w:p>
        </w:tc>
        <w:tc>
          <w:tcPr>
            <w:tcW w:w="737" w:type="dxa"/>
            <w:vAlign w:val="center"/>
          </w:tcPr>
          <w:p w:rsidR="00D452D7" w:rsidRPr="0029403D" w:rsidRDefault="001043B8" w:rsidP="00214D1D">
            <w:pPr>
              <w:jc w:val="center"/>
              <w:rPr>
                <w:i/>
                <w:sz w:val="20"/>
                <w:szCs w:val="20"/>
              </w:rPr>
            </w:pPr>
            <w:r>
              <w:rPr>
                <w:i/>
                <w:sz w:val="20"/>
                <w:szCs w:val="20"/>
              </w:rPr>
              <w:t>2014</w:t>
            </w:r>
          </w:p>
        </w:tc>
        <w:tc>
          <w:tcPr>
            <w:tcW w:w="737" w:type="dxa"/>
            <w:vAlign w:val="center"/>
          </w:tcPr>
          <w:p w:rsidR="00D452D7" w:rsidRPr="0029403D" w:rsidRDefault="001043B8" w:rsidP="00214D1D">
            <w:pPr>
              <w:jc w:val="center"/>
              <w:rPr>
                <w:i/>
                <w:sz w:val="20"/>
                <w:szCs w:val="20"/>
              </w:rPr>
            </w:pPr>
            <w:r>
              <w:rPr>
                <w:i/>
                <w:sz w:val="20"/>
                <w:szCs w:val="20"/>
              </w:rPr>
              <w:t>2015</w:t>
            </w:r>
          </w:p>
        </w:tc>
        <w:tc>
          <w:tcPr>
            <w:tcW w:w="794" w:type="dxa"/>
            <w:vAlign w:val="center"/>
          </w:tcPr>
          <w:p w:rsidR="00D452D7" w:rsidRPr="0029403D" w:rsidRDefault="001043B8" w:rsidP="00214D1D">
            <w:pPr>
              <w:jc w:val="center"/>
              <w:rPr>
                <w:i/>
                <w:sz w:val="20"/>
                <w:szCs w:val="20"/>
              </w:rPr>
            </w:pPr>
            <w:r>
              <w:rPr>
                <w:i/>
                <w:sz w:val="20"/>
                <w:szCs w:val="20"/>
              </w:rPr>
              <w:t>2013</w:t>
            </w:r>
          </w:p>
        </w:tc>
        <w:tc>
          <w:tcPr>
            <w:tcW w:w="794" w:type="dxa"/>
            <w:vAlign w:val="center"/>
          </w:tcPr>
          <w:p w:rsidR="00D452D7" w:rsidRPr="0029403D" w:rsidRDefault="001043B8" w:rsidP="00214D1D">
            <w:pPr>
              <w:jc w:val="center"/>
              <w:rPr>
                <w:i/>
                <w:sz w:val="20"/>
                <w:szCs w:val="20"/>
              </w:rPr>
            </w:pPr>
            <w:r>
              <w:rPr>
                <w:i/>
                <w:sz w:val="20"/>
                <w:szCs w:val="20"/>
              </w:rPr>
              <w:t>2014</w:t>
            </w:r>
          </w:p>
        </w:tc>
        <w:tc>
          <w:tcPr>
            <w:tcW w:w="794" w:type="dxa"/>
            <w:vAlign w:val="center"/>
          </w:tcPr>
          <w:p w:rsidR="00D452D7" w:rsidRPr="0029403D" w:rsidRDefault="001043B8" w:rsidP="00214D1D">
            <w:pPr>
              <w:jc w:val="center"/>
              <w:rPr>
                <w:i/>
                <w:sz w:val="20"/>
                <w:szCs w:val="20"/>
              </w:rPr>
            </w:pPr>
            <w:r>
              <w:rPr>
                <w:i/>
                <w:sz w:val="20"/>
                <w:szCs w:val="20"/>
              </w:rPr>
              <w:t>2015</w:t>
            </w:r>
          </w:p>
        </w:tc>
        <w:tc>
          <w:tcPr>
            <w:tcW w:w="1531" w:type="dxa"/>
            <w:vAlign w:val="center"/>
          </w:tcPr>
          <w:p w:rsidR="00D452D7" w:rsidRPr="0029403D" w:rsidRDefault="001043B8" w:rsidP="00214D1D">
            <w:pPr>
              <w:jc w:val="center"/>
              <w:rPr>
                <w:i/>
                <w:sz w:val="20"/>
                <w:szCs w:val="20"/>
              </w:rPr>
            </w:pPr>
            <w:r>
              <w:rPr>
                <w:i/>
                <w:sz w:val="20"/>
                <w:szCs w:val="20"/>
              </w:rPr>
              <w:t>2014</w:t>
            </w:r>
            <w:r w:rsidR="00ED23C5">
              <w:rPr>
                <w:i/>
                <w:sz w:val="20"/>
                <w:szCs w:val="20"/>
              </w:rPr>
              <w:t xml:space="preserve"> к </w:t>
            </w:r>
            <w:r>
              <w:rPr>
                <w:i/>
                <w:sz w:val="20"/>
                <w:szCs w:val="20"/>
              </w:rPr>
              <w:t>2013</w:t>
            </w:r>
          </w:p>
        </w:tc>
        <w:tc>
          <w:tcPr>
            <w:tcW w:w="1644" w:type="dxa"/>
            <w:vAlign w:val="center"/>
          </w:tcPr>
          <w:p w:rsidR="00D452D7" w:rsidRPr="0029403D" w:rsidRDefault="001043B8" w:rsidP="00214D1D">
            <w:pPr>
              <w:jc w:val="center"/>
              <w:rPr>
                <w:i/>
                <w:sz w:val="20"/>
                <w:szCs w:val="20"/>
              </w:rPr>
            </w:pPr>
            <w:r>
              <w:rPr>
                <w:i/>
                <w:sz w:val="20"/>
                <w:szCs w:val="20"/>
              </w:rPr>
              <w:t>2015</w:t>
            </w:r>
            <w:r w:rsidR="00ED23C5">
              <w:rPr>
                <w:i/>
                <w:sz w:val="20"/>
                <w:szCs w:val="20"/>
              </w:rPr>
              <w:t xml:space="preserve"> к </w:t>
            </w:r>
            <w:r>
              <w:rPr>
                <w:i/>
                <w:sz w:val="20"/>
                <w:szCs w:val="20"/>
              </w:rPr>
              <w:t>2014</w:t>
            </w:r>
          </w:p>
        </w:tc>
      </w:tr>
      <w:tr w:rsidR="00140040" w:rsidRPr="00D452D7" w:rsidTr="00140040">
        <w:trPr>
          <w:trHeight w:val="340"/>
        </w:trPr>
        <w:tc>
          <w:tcPr>
            <w:tcW w:w="2098" w:type="dxa"/>
            <w:vAlign w:val="center"/>
          </w:tcPr>
          <w:p w:rsidR="00140040" w:rsidRPr="00D452D7" w:rsidRDefault="00140040" w:rsidP="00140040">
            <w:pPr>
              <w:spacing w:before="40" w:after="40"/>
              <w:rPr>
                <w:sz w:val="22"/>
                <w:szCs w:val="22"/>
              </w:rPr>
            </w:pPr>
            <w:r>
              <w:rPr>
                <w:sz w:val="22"/>
                <w:szCs w:val="22"/>
              </w:rPr>
              <w:t>Аренда земли</w:t>
            </w:r>
          </w:p>
        </w:tc>
        <w:tc>
          <w:tcPr>
            <w:tcW w:w="737" w:type="dxa"/>
            <w:vAlign w:val="center"/>
          </w:tcPr>
          <w:p w:rsidR="00140040" w:rsidRPr="00D452D7" w:rsidRDefault="00140040" w:rsidP="00AA4083">
            <w:pPr>
              <w:spacing w:before="40" w:after="40"/>
              <w:jc w:val="center"/>
              <w:rPr>
                <w:sz w:val="22"/>
                <w:szCs w:val="22"/>
              </w:rPr>
            </w:pPr>
            <w:r>
              <w:rPr>
                <w:sz w:val="22"/>
                <w:szCs w:val="22"/>
              </w:rPr>
              <w:t>12,6</w:t>
            </w:r>
          </w:p>
        </w:tc>
        <w:tc>
          <w:tcPr>
            <w:tcW w:w="737" w:type="dxa"/>
            <w:vAlign w:val="center"/>
          </w:tcPr>
          <w:p w:rsidR="00140040" w:rsidRPr="00D452D7" w:rsidRDefault="00140040" w:rsidP="00AA4083">
            <w:pPr>
              <w:spacing w:before="40" w:after="40"/>
              <w:jc w:val="center"/>
              <w:rPr>
                <w:sz w:val="22"/>
                <w:szCs w:val="22"/>
              </w:rPr>
            </w:pPr>
            <w:r>
              <w:rPr>
                <w:sz w:val="22"/>
                <w:szCs w:val="22"/>
              </w:rPr>
              <w:t>13,6</w:t>
            </w:r>
          </w:p>
        </w:tc>
        <w:tc>
          <w:tcPr>
            <w:tcW w:w="737" w:type="dxa"/>
            <w:vAlign w:val="center"/>
          </w:tcPr>
          <w:p w:rsidR="00140040" w:rsidRPr="00D452D7" w:rsidRDefault="00140040" w:rsidP="00140040">
            <w:pPr>
              <w:spacing w:before="40" w:after="40"/>
              <w:jc w:val="center"/>
              <w:rPr>
                <w:sz w:val="22"/>
                <w:szCs w:val="22"/>
              </w:rPr>
            </w:pPr>
          </w:p>
        </w:tc>
        <w:tc>
          <w:tcPr>
            <w:tcW w:w="794" w:type="dxa"/>
            <w:vAlign w:val="center"/>
          </w:tcPr>
          <w:p w:rsidR="00140040" w:rsidRPr="00D452D7" w:rsidRDefault="00140040" w:rsidP="00AA4083">
            <w:pPr>
              <w:spacing w:before="40" w:after="40"/>
              <w:jc w:val="center"/>
              <w:rPr>
                <w:sz w:val="22"/>
                <w:szCs w:val="22"/>
              </w:rPr>
            </w:pPr>
            <w:r>
              <w:rPr>
                <w:sz w:val="22"/>
                <w:szCs w:val="22"/>
              </w:rPr>
              <w:t>3,0%</w:t>
            </w:r>
          </w:p>
        </w:tc>
        <w:tc>
          <w:tcPr>
            <w:tcW w:w="794" w:type="dxa"/>
            <w:vAlign w:val="center"/>
          </w:tcPr>
          <w:p w:rsidR="00140040" w:rsidRPr="00D452D7" w:rsidRDefault="00140040" w:rsidP="00AA4083">
            <w:pPr>
              <w:spacing w:before="40" w:after="40"/>
              <w:jc w:val="center"/>
              <w:rPr>
                <w:sz w:val="22"/>
                <w:szCs w:val="22"/>
              </w:rPr>
            </w:pPr>
            <w:r>
              <w:rPr>
                <w:sz w:val="22"/>
                <w:szCs w:val="22"/>
              </w:rPr>
              <w:t>4,9%</w:t>
            </w:r>
          </w:p>
        </w:tc>
        <w:tc>
          <w:tcPr>
            <w:tcW w:w="794" w:type="dxa"/>
            <w:vAlign w:val="center"/>
          </w:tcPr>
          <w:p w:rsidR="00140040" w:rsidRPr="00D452D7" w:rsidRDefault="00140040" w:rsidP="00140040">
            <w:pPr>
              <w:spacing w:before="40" w:after="40"/>
              <w:jc w:val="center"/>
              <w:rPr>
                <w:sz w:val="22"/>
                <w:szCs w:val="22"/>
              </w:rPr>
            </w:pPr>
          </w:p>
        </w:tc>
        <w:tc>
          <w:tcPr>
            <w:tcW w:w="1531" w:type="dxa"/>
            <w:vAlign w:val="center"/>
          </w:tcPr>
          <w:p w:rsidR="00140040" w:rsidRPr="00851CBE" w:rsidRDefault="00140040" w:rsidP="00AA4083">
            <w:pPr>
              <w:spacing w:before="40" w:after="40"/>
              <w:jc w:val="center"/>
              <w:rPr>
                <w:sz w:val="22"/>
                <w:szCs w:val="22"/>
              </w:rPr>
            </w:pPr>
            <w:r>
              <w:rPr>
                <w:sz w:val="22"/>
                <w:szCs w:val="22"/>
              </w:rPr>
              <w:t>1,0 / 7,9%</w:t>
            </w:r>
          </w:p>
        </w:tc>
        <w:tc>
          <w:tcPr>
            <w:tcW w:w="1644" w:type="dxa"/>
            <w:vAlign w:val="center"/>
          </w:tcPr>
          <w:p w:rsidR="00140040" w:rsidRPr="00851CBE" w:rsidRDefault="00140040" w:rsidP="00140040">
            <w:pPr>
              <w:spacing w:before="40" w:after="40"/>
              <w:jc w:val="center"/>
              <w:rPr>
                <w:sz w:val="22"/>
                <w:szCs w:val="22"/>
              </w:rPr>
            </w:pPr>
          </w:p>
        </w:tc>
      </w:tr>
      <w:tr w:rsidR="00140040" w:rsidRPr="00D452D7" w:rsidTr="00140040">
        <w:trPr>
          <w:trHeight w:val="283"/>
        </w:trPr>
        <w:tc>
          <w:tcPr>
            <w:tcW w:w="2098" w:type="dxa"/>
          </w:tcPr>
          <w:p w:rsidR="00140040" w:rsidRPr="00D452D7" w:rsidRDefault="00140040" w:rsidP="00140040">
            <w:pPr>
              <w:spacing w:before="40" w:after="40"/>
              <w:rPr>
                <w:sz w:val="22"/>
                <w:szCs w:val="22"/>
              </w:rPr>
            </w:pPr>
            <w:r>
              <w:rPr>
                <w:sz w:val="22"/>
                <w:szCs w:val="22"/>
              </w:rPr>
              <w:t>Платные услуги</w:t>
            </w:r>
          </w:p>
        </w:tc>
        <w:tc>
          <w:tcPr>
            <w:tcW w:w="737" w:type="dxa"/>
            <w:vAlign w:val="center"/>
          </w:tcPr>
          <w:p w:rsidR="00140040" w:rsidRPr="00D452D7" w:rsidRDefault="00140040" w:rsidP="00AA4083">
            <w:pPr>
              <w:spacing w:before="40" w:after="40"/>
              <w:jc w:val="center"/>
              <w:rPr>
                <w:sz w:val="22"/>
                <w:szCs w:val="22"/>
              </w:rPr>
            </w:pPr>
            <w:r>
              <w:rPr>
                <w:sz w:val="22"/>
                <w:szCs w:val="22"/>
              </w:rPr>
              <w:t>93,0</w:t>
            </w:r>
          </w:p>
        </w:tc>
        <w:tc>
          <w:tcPr>
            <w:tcW w:w="737" w:type="dxa"/>
            <w:vAlign w:val="center"/>
          </w:tcPr>
          <w:p w:rsidR="00140040" w:rsidRPr="00D452D7" w:rsidRDefault="00140040" w:rsidP="00AA4083">
            <w:pPr>
              <w:spacing w:before="40" w:after="40"/>
              <w:jc w:val="center"/>
              <w:rPr>
                <w:sz w:val="22"/>
                <w:szCs w:val="22"/>
              </w:rPr>
            </w:pPr>
            <w:r>
              <w:rPr>
                <w:sz w:val="22"/>
                <w:szCs w:val="22"/>
              </w:rPr>
              <w:t>114,3</w:t>
            </w:r>
          </w:p>
        </w:tc>
        <w:tc>
          <w:tcPr>
            <w:tcW w:w="737" w:type="dxa"/>
            <w:vAlign w:val="center"/>
          </w:tcPr>
          <w:p w:rsidR="00140040" w:rsidRPr="00D452D7" w:rsidRDefault="00140040" w:rsidP="00140040">
            <w:pPr>
              <w:spacing w:before="40" w:after="40"/>
              <w:jc w:val="center"/>
              <w:rPr>
                <w:sz w:val="22"/>
                <w:szCs w:val="22"/>
              </w:rPr>
            </w:pPr>
            <w:r>
              <w:rPr>
                <w:sz w:val="22"/>
                <w:szCs w:val="22"/>
              </w:rPr>
              <w:t>6,4</w:t>
            </w:r>
          </w:p>
        </w:tc>
        <w:tc>
          <w:tcPr>
            <w:tcW w:w="794" w:type="dxa"/>
            <w:vAlign w:val="center"/>
          </w:tcPr>
          <w:p w:rsidR="00140040" w:rsidRPr="00D452D7" w:rsidRDefault="00140040" w:rsidP="00AA4083">
            <w:pPr>
              <w:spacing w:before="40" w:after="40"/>
              <w:jc w:val="center"/>
              <w:rPr>
                <w:sz w:val="22"/>
                <w:szCs w:val="22"/>
              </w:rPr>
            </w:pPr>
            <w:r>
              <w:rPr>
                <w:sz w:val="22"/>
                <w:szCs w:val="22"/>
              </w:rPr>
              <w:t>22,4%</w:t>
            </w:r>
          </w:p>
        </w:tc>
        <w:tc>
          <w:tcPr>
            <w:tcW w:w="794" w:type="dxa"/>
            <w:vAlign w:val="center"/>
          </w:tcPr>
          <w:p w:rsidR="00140040" w:rsidRPr="00D452D7" w:rsidRDefault="00140040" w:rsidP="00AA4083">
            <w:pPr>
              <w:spacing w:before="40" w:after="40"/>
              <w:jc w:val="center"/>
              <w:rPr>
                <w:sz w:val="22"/>
                <w:szCs w:val="22"/>
              </w:rPr>
            </w:pPr>
            <w:r>
              <w:rPr>
                <w:sz w:val="22"/>
                <w:szCs w:val="22"/>
              </w:rPr>
              <w:t>41,3%</w:t>
            </w:r>
          </w:p>
        </w:tc>
        <w:tc>
          <w:tcPr>
            <w:tcW w:w="794" w:type="dxa"/>
            <w:vAlign w:val="center"/>
          </w:tcPr>
          <w:p w:rsidR="00140040" w:rsidRPr="00D452D7" w:rsidRDefault="00140040" w:rsidP="00140040">
            <w:pPr>
              <w:spacing w:before="40" w:after="40"/>
              <w:jc w:val="center"/>
              <w:rPr>
                <w:sz w:val="22"/>
                <w:szCs w:val="22"/>
              </w:rPr>
            </w:pPr>
            <w:r>
              <w:rPr>
                <w:sz w:val="22"/>
                <w:szCs w:val="22"/>
              </w:rPr>
              <w:t>4,5%</w:t>
            </w:r>
          </w:p>
        </w:tc>
        <w:tc>
          <w:tcPr>
            <w:tcW w:w="1531" w:type="dxa"/>
            <w:vAlign w:val="center"/>
          </w:tcPr>
          <w:p w:rsidR="00140040" w:rsidRPr="00851CBE" w:rsidRDefault="00140040" w:rsidP="00AA4083">
            <w:pPr>
              <w:spacing w:before="40" w:after="40"/>
              <w:jc w:val="center"/>
              <w:rPr>
                <w:sz w:val="22"/>
                <w:szCs w:val="22"/>
              </w:rPr>
            </w:pPr>
            <w:r>
              <w:rPr>
                <w:sz w:val="22"/>
                <w:szCs w:val="22"/>
              </w:rPr>
              <w:t>21,3 / 22,9%</w:t>
            </w:r>
          </w:p>
        </w:tc>
        <w:tc>
          <w:tcPr>
            <w:tcW w:w="1644" w:type="dxa"/>
            <w:vAlign w:val="center"/>
          </w:tcPr>
          <w:p w:rsidR="00140040" w:rsidRPr="00851CBE" w:rsidRDefault="00140040" w:rsidP="00140040">
            <w:pPr>
              <w:spacing w:before="40" w:after="40"/>
              <w:jc w:val="center"/>
              <w:rPr>
                <w:sz w:val="22"/>
                <w:szCs w:val="22"/>
              </w:rPr>
            </w:pPr>
            <w:r>
              <w:rPr>
                <w:sz w:val="22"/>
                <w:szCs w:val="22"/>
              </w:rPr>
              <w:t>-107,9 / -94,4%</w:t>
            </w:r>
          </w:p>
        </w:tc>
      </w:tr>
      <w:tr w:rsidR="00140040" w:rsidRPr="00D452D7" w:rsidTr="00140040">
        <w:tc>
          <w:tcPr>
            <w:tcW w:w="2098" w:type="dxa"/>
          </w:tcPr>
          <w:p w:rsidR="00140040" w:rsidRPr="00D452D7" w:rsidRDefault="00140040" w:rsidP="00140040">
            <w:pPr>
              <w:spacing w:before="40" w:after="40"/>
              <w:rPr>
                <w:sz w:val="22"/>
                <w:szCs w:val="22"/>
              </w:rPr>
            </w:pPr>
            <w:r>
              <w:rPr>
                <w:sz w:val="22"/>
                <w:szCs w:val="22"/>
              </w:rPr>
              <w:t>Возмещение затрат</w:t>
            </w:r>
          </w:p>
        </w:tc>
        <w:tc>
          <w:tcPr>
            <w:tcW w:w="737" w:type="dxa"/>
            <w:vAlign w:val="center"/>
          </w:tcPr>
          <w:p w:rsidR="00140040" w:rsidRPr="00D452D7" w:rsidRDefault="00140040" w:rsidP="00AA4083">
            <w:pPr>
              <w:spacing w:before="40" w:after="40"/>
              <w:jc w:val="center"/>
              <w:rPr>
                <w:sz w:val="22"/>
                <w:szCs w:val="22"/>
              </w:rPr>
            </w:pPr>
            <w:r>
              <w:rPr>
                <w:sz w:val="22"/>
                <w:szCs w:val="22"/>
              </w:rPr>
              <w:t>309,6</w:t>
            </w:r>
          </w:p>
        </w:tc>
        <w:tc>
          <w:tcPr>
            <w:tcW w:w="737" w:type="dxa"/>
            <w:vAlign w:val="center"/>
          </w:tcPr>
          <w:p w:rsidR="00140040" w:rsidRPr="00D452D7" w:rsidRDefault="00140040" w:rsidP="00AA4083">
            <w:pPr>
              <w:spacing w:before="40" w:after="40"/>
              <w:jc w:val="center"/>
              <w:rPr>
                <w:sz w:val="22"/>
                <w:szCs w:val="22"/>
              </w:rPr>
            </w:pPr>
            <w:r>
              <w:rPr>
                <w:sz w:val="22"/>
                <w:szCs w:val="22"/>
              </w:rPr>
              <w:t>148,8</w:t>
            </w:r>
          </w:p>
        </w:tc>
        <w:tc>
          <w:tcPr>
            <w:tcW w:w="737" w:type="dxa"/>
            <w:vAlign w:val="center"/>
          </w:tcPr>
          <w:p w:rsidR="00140040" w:rsidRPr="00D452D7" w:rsidRDefault="00140040" w:rsidP="00140040">
            <w:pPr>
              <w:spacing w:before="40" w:after="40"/>
              <w:jc w:val="center"/>
              <w:rPr>
                <w:sz w:val="22"/>
                <w:szCs w:val="22"/>
              </w:rPr>
            </w:pPr>
            <w:r>
              <w:rPr>
                <w:sz w:val="22"/>
                <w:szCs w:val="22"/>
              </w:rPr>
              <w:t>119,6</w:t>
            </w:r>
          </w:p>
        </w:tc>
        <w:tc>
          <w:tcPr>
            <w:tcW w:w="794" w:type="dxa"/>
            <w:vAlign w:val="center"/>
          </w:tcPr>
          <w:p w:rsidR="00140040" w:rsidRPr="00D452D7" w:rsidRDefault="00140040" w:rsidP="00AA4083">
            <w:pPr>
              <w:spacing w:before="40" w:after="40"/>
              <w:jc w:val="center"/>
              <w:rPr>
                <w:sz w:val="22"/>
                <w:szCs w:val="22"/>
              </w:rPr>
            </w:pPr>
            <w:r>
              <w:rPr>
                <w:sz w:val="22"/>
                <w:szCs w:val="22"/>
              </w:rPr>
              <w:t>74,6%</w:t>
            </w:r>
          </w:p>
        </w:tc>
        <w:tc>
          <w:tcPr>
            <w:tcW w:w="794" w:type="dxa"/>
            <w:vAlign w:val="center"/>
          </w:tcPr>
          <w:p w:rsidR="00140040" w:rsidRPr="00D452D7" w:rsidRDefault="00140040" w:rsidP="00AA4083">
            <w:pPr>
              <w:spacing w:before="40" w:after="40"/>
              <w:jc w:val="center"/>
              <w:rPr>
                <w:sz w:val="22"/>
                <w:szCs w:val="22"/>
              </w:rPr>
            </w:pPr>
            <w:r>
              <w:rPr>
                <w:sz w:val="22"/>
                <w:szCs w:val="22"/>
              </w:rPr>
              <w:t>53,8%</w:t>
            </w:r>
          </w:p>
        </w:tc>
        <w:tc>
          <w:tcPr>
            <w:tcW w:w="794" w:type="dxa"/>
            <w:vAlign w:val="center"/>
          </w:tcPr>
          <w:p w:rsidR="00140040" w:rsidRPr="00D452D7" w:rsidRDefault="00140040" w:rsidP="00140040">
            <w:pPr>
              <w:spacing w:before="40" w:after="40"/>
              <w:jc w:val="center"/>
              <w:rPr>
                <w:sz w:val="22"/>
                <w:szCs w:val="22"/>
              </w:rPr>
            </w:pPr>
            <w:r>
              <w:rPr>
                <w:sz w:val="22"/>
                <w:szCs w:val="22"/>
              </w:rPr>
              <w:t>84,4%</w:t>
            </w:r>
          </w:p>
        </w:tc>
        <w:tc>
          <w:tcPr>
            <w:tcW w:w="1531" w:type="dxa"/>
            <w:vAlign w:val="center"/>
          </w:tcPr>
          <w:p w:rsidR="00140040" w:rsidRPr="00851CBE" w:rsidRDefault="00140040" w:rsidP="00AA4083">
            <w:pPr>
              <w:spacing w:before="40" w:after="40"/>
              <w:jc w:val="center"/>
              <w:rPr>
                <w:spacing w:val="-2"/>
                <w:sz w:val="21"/>
                <w:szCs w:val="21"/>
              </w:rPr>
            </w:pPr>
            <w:r w:rsidRPr="00851CBE">
              <w:rPr>
                <w:spacing w:val="-2"/>
                <w:sz w:val="21"/>
                <w:szCs w:val="21"/>
              </w:rPr>
              <w:t>-160,8 / -51,9%</w:t>
            </w:r>
          </w:p>
        </w:tc>
        <w:tc>
          <w:tcPr>
            <w:tcW w:w="1644" w:type="dxa"/>
            <w:vAlign w:val="center"/>
          </w:tcPr>
          <w:p w:rsidR="00140040" w:rsidRPr="00851CBE" w:rsidRDefault="00140040" w:rsidP="00140040">
            <w:pPr>
              <w:spacing w:before="40" w:after="40"/>
              <w:jc w:val="center"/>
              <w:rPr>
                <w:spacing w:val="-2"/>
                <w:sz w:val="21"/>
                <w:szCs w:val="21"/>
              </w:rPr>
            </w:pPr>
            <w:r w:rsidRPr="00851CBE">
              <w:rPr>
                <w:spacing w:val="-2"/>
                <w:sz w:val="21"/>
                <w:szCs w:val="21"/>
              </w:rPr>
              <w:t>-</w:t>
            </w:r>
            <w:r>
              <w:rPr>
                <w:spacing w:val="-2"/>
                <w:sz w:val="21"/>
                <w:szCs w:val="21"/>
              </w:rPr>
              <w:t>29,2</w:t>
            </w:r>
            <w:r w:rsidRPr="00851CBE">
              <w:rPr>
                <w:spacing w:val="-2"/>
                <w:sz w:val="21"/>
                <w:szCs w:val="21"/>
              </w:rPr>
              <w:t xml:space="preserve"> / -</w:t>
            </w:r>
            <w:r>
              <w:rPr>
                <w:spacing w:val="-2"/>
                <w:sz w:val="21"/>
                <w:szCs w:val="21"/>
              </w:rPr>
              <w:t>19,6</w:t>
            </w:r>
            <w:r w:rsidRPr="00851CBE">
              <w:rPr>
                <w:spacing w:val="-2"/>
                <w:sz w:val="21"/>
                <w:szCs w:val="21"/>
              </w:rPr>
              <w:t>%</w:t>
            </w:r>
          </w:p>
        </w:tc>
      </w:tr>
      <w:tr w:rsidR="00140040" w:rsidRPr="00D452D7" w:rsidTr="00140040">
        <w:trPr>
          <w:trHeight w:val="283"/>
        </w:trPr>
        <w:tc>
          <w:tcPr>
            <w:tcW w:w="2098" w:type="dxa"/>
          </w:tcPr>
          <w:p w:rsidR="00140040" w:rsidRPr="00D452D7" w:rsidRDefault="00140040" w:rsidP="00140040">
            <w:pPr>
              <w:spacing w:before="40" w:after="40"/>
              <w:jc w:val="both"/>
              <w:rPr>
                <w:sz w:val="22"/>
                <w:szCs w:val="22"/>
              </w:rPr>
            </w:pPr>
            <w:r>
              <w:rPr>
                <w:sz w:val="22"/>
                <w:szCs w:val="22"/>
              </w:rPr>
              <w:t>Штрафы</w:t>
            </w:r>
          </w:p>
        </w:tc>
        <w:tc>
          <w:tcPr>
            <w:tcW w:w="737" w:type="dxa"/>
            <w:vAlign w:val="center"/>
          </w:tcPr>
          <w:p w:rsidR="00140040" w:rsidRPr="00D452D7" w:rsidRDefault="00140040" w:rsidP="00AA4083">
            <w:pPr>
              <w:spacing w:before="40" w:after="40"/>
              <w:jc w:val="center"/>
              <w:rPr>
                <w:sz w:val="22"/>
                <w:szCs w:val="22"/>
              </w:rPr>
            </w:pPr>
          </w:p>
        </w:tc>
        <w:tc>
          <w:tcPr>
            <w:tcW w:w="737" w:type="dxa"/>
            <w:vAlign w:val="center"/>
          </w:tcPr>
          <w:p w:rsidR="00140040" w:rsidRPr="00D452D7" w:rsidRDefault="00140040" w:rsidP="00AA4083">
            <w:pPr>
              <w:spacing w:before="40" w:after="40"/>
              <w:jc w:val="center"/>
              <w:rPr>
                <w:sz w:val="22"/>
                <w:szCs w:val="22"/>
              </w:rPr>
            </w:pPr>
          </w:p>
        </w:tc>
        <w:tc>
          <w:tcPr>
            <w:tcW w:w="737" w:type="dxa"/>
            <w:vAlign w:val="center"/>
          </w:tcPr>
          <w:p w:rsidR="00140040" w:rsidRPr="00D452D7" w:rsidRDefault="00140040" w:rsidP="00140040">
            <w:pPr>
              <w:spacing w:before="40" w:after="40"/>
              <w:jc w:val="center"/>
              <w:rPr>
                <w:sz w:val="22"/>
                <w:szCs w:val="22"/>
              </w:rPr>
            </w:pPr>
            <w:r>
              <w:rPr>
                <w:sz w:val="22"/>
                <w:szCs w:val="22"/>
              </w:rPr>
              <w:t>15,7</w:t>
            </w:r>
          </w:p>
        </w:tc>
        <w:tc>
          <w:tcPr>
            <w:tcW w:w="794" w:type="dxa"/>
            <w:vAlign w:val="center"/>
          </w:tcPr>
          <w:p w:rsidR="00140040" w:rsidRPr="00D452D7" w:rsidRDefault="00140040" w:rsidP="00AA4083">
            <w:pPr>
              <w:spacing w:before="40" w:after="40"/>
              <w:jc w:val="center"/>
              <w:rPr>
                <w:sz w:val="22"/>
                <w:szCs w:val="22"/>
              </w:rPr>
            </w:pPr>
          </w:p>
        </w:tc>
        <w:tc>
          <w:tcPr>
            <w:tcW w:w="794" w:type="dxa"/>
            <w:vAlign w:val="center"/>
          </w:tcPr>
          <w:p w:rsidR="00140040" w:rsidRPr="00D452D7" w:rsidRDefault="00140040" w:rsidP="00AA4083">
            <w:pPr>
              <w:spacing w:before="40" w:after="40"/>
              <w:jc w:val="center"/>
              <w:rPr>
                <w:sz w:val="22"/>
                <w:szCs w:val="22"/>
              </w:rPr>
            </w:pPr>
          </w:p>
        </w:tc>
        <w:tc>
          <w:tcPr>
            <w:tcW w:w="794" w:type="dxa"/>
            <w:vAlign w:val="center"/>
          </w:tcPr>
          <w:p w:rsidR="00140040" w:rsidRPr="00D452D7" w:rsidRDefault="00140040" w:rsidP="00140040">
            <w:pPr>
              <w:spacing w:before="40" w:after="40"/>
              <w:jc w:val="center"/>
              <w:rPr>
                <w:sz w:val="22"/>
                <w:szCs w:val="22"/>
              </w:rPr>
            </w:pPr>
            <w:r>
              <w:rPr>
                <w:sz w:val="22"/>
                <w:szCs w:val="22"/>
              </w:rPr>
              <w:t>11,1%</w:t>
            </w:r>
          </w:p>
        </w:tc>
        <w:tc>
          <w:tcPr>
            <w:tcW w:w="1531" w:type="dxa"/>
            <w:vAlign w:val="center"/>
          </w:tcPr>
          <w:p w:rsidR="00140040" w:rsidRPr="00851CBE" w:rsidRDefault="00140040" w:rsidP="00AA4083">
            <w:pPr>
              <w:spacing w:before="40" w:after="40"/>
              <w:jc w:val="center"/>
              <w:rPr>
                <w:sz w:val="22"/>
                <w:szCs w:val="22"/>
              </w:rPr>
            </w:pPr>
          </w:p>
        </w:tc>
        <w:tc>
          <w:tcPr>
            <w:tcW w:w="1644" w:type="dxa"/>
            <w:vAlign w:val="center"/>
          </w:tcPr>
          <w:p w:rsidR="00140040" w:rsidRPr="00851CBE" w:rsidRDefault="00140040" w:rsidP="00140040">
            <w:pPr>
              <w:spacing w:before="40" w:after="40"/>
              <w:jc w:val="center"/>
              <w:rPr>
                <w:sz w:val="22"/>
                <w:szCs w:val="22"/>
              </w:rPr>
            </w:pPr>
          </w:p>
        </w:tc>
      </w:tr>
      <w:tr w:rsidR="00140040" w:rsidRPr="0029403D" w:rsidTr="00140040">
        <w:tc>
          <w:tcPr>
            <w:tcW w:w="2098" w:type="dxa"/>
          </w:tcPr>
          <w:p w:rsidR="00140040" w:rsidRPr="0029403D" w:rsidRDefault="00140040" w:rsidP="00214D1D">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140040" w:rsidRPr="0029403D" w:rsidRDefault="00140040" w:rsidP="00AA4083">
            <w:pPr>
              <w:jc w:val="center"/>
              <w:rPr>
                <w:b/>
                <w:sz w:val="22"/>
                <w:szCs w:val="22"/>
              </w:rPr>
            </w:pPr>
            <w:r>
              <w:rPr>
                <w:b/>
                <w:sz w:val="22"/>
                <w:szCs w:val="22"/>
              </w:rPr>
              <w:t>415,2</w:t>
            </w:r>
          </w:p>
        </w:tc>
        <w:tc>
          <w:tcPr>
            <w:tcW w:w="737" w:type="dxa"/>
            <w:vAlign w:val="center"/>
          </w:tcPr>
          <w:p w:rsidR="00140040" w:rsidRPr="0029403D" w:rsidRDefault="00140040" w:rsidP="00AA4083">
            <w:pPr>
              <w:jc w:val="center"/>
              <w:rPr>
                <w:b/>
                <w:sz w:val="22"/>
                <w:szCs w:val="22"/>
              </w:rPr>
            </w:pPr>
            <w:r>
              <w:rPr>
                <w:b/>
                <w:sz w:val="22"/>
                <w:szCs w:val="22"/>
              </w:rPr>
              <w:t>276,7</w:t>
            </w:r>
          </w:p>
        </w:tc>
        <w:tc>
          <w:tcPr>
            <w:tcW w:w="737" w:type="dxa"/>
            <w:vAlign w:val="center"/>
          </w:tcPr>
          <w:p w:rsidR="00140040" w:rsidRPr="0029403D" w:rsidRDefault="00140040" w:rsidP="00214D1D">
            <w:pPr>
              <w:jc w:val="center"/>
              <w:rPr>
                <w:b/>
                <w:sz w:val="22"/>
                <w:szCs w:val="22"/>
              </w:rPr>
            </w:pPr>
            <w:r>
              <w:rPr>
                <w:b/>
                <w:sz w:val="22"/>
                <w:szCs w:val="22"/>
              </w:rPr>
              <w:t>141,7</w:t>
            </w:r>
          </w:p>
        </w:tc>
        <w:tc>
          <w:tcPr>
            <w:tcW w:w="794" w:type="dxa"/>
            <w:vAlign w:val="center"/>
          </w:tcPr>
          <w:p w:rsidR="00140040" w:rsidRPr="0029403D" w:rsidRDefault="00140040" w:rsidP="00214D1D">
            <w:pPr>
              <w:jc w:val="center"/>
              <w:rPr>
                <w:b/>
                <w:sz w:val="22"/>
                <w:szCs w:val="22"/>
              </w:rPr>
            </w:pPr>
            <w:r w:rsidRPr="0029403D">
              <w:rPr>
                <w:b/>
                <w:sz w:val="22"/>
                <w:szCs w:val="22"/>
              </w:rPr>
              <w:t>100%</w:t>
            </w:r>
          </w:p>
        </w:tc>
        <w:tc>
          <w:tcPr>
            <w:tcW w:w="794" w:type="dxa"/>
            <w:vAlign w:val="center"/>
          </w:tcPr>
          <w:p w:rsidR="00140040" w:rsidRPr="0029403D" w:rsidRDefault="00140040" w:rsidP="00214D1D">
            <w:pPr>
              <w:jc w:val="center"/>
              <w:rPr>
                <w:b/>
                <w:sz w:val="22"/>
                <w:szCs w:val="22"/>
              </w:rPr>
            </w:pPr>
            <w:r w:rsidRPr="0029403D">
              <w:rPr>
                <w:b/>
                <w:sz w:val="22"/>
                <w:szCs w:val="22"/>
              </w:rPr>
              <w:t>100%</w:t>
            </w:r>
          </w:p>
        </w:tc>
        <w:tc>
          <w:tcPr>
            <w:tcW w:w="794" w:type="dxa"/>
            <w:vAlign w:val="center"/>
          </w:tcPr>
          <w:p w:rsidR="00140040" w:rsidRPr="0029403D" w:rsidRDefault="00140040" w:rsidP="00214D1D">
            <w:pPr>
              <w:jc w:val="center"/>
              <w:rPr>
                <w:b/>
                <w:sz w:val="22"/>
                <w:szCs w:val="22"/>
              </w:rPr>
            </w:pPr>
            <w:r w:rsidRPr="0029403D">
              <w:rPr>
                <w:b/>
                <w:sz w:val="22"/>
                <w:szCs w:val="22"/>
              </w:rPr>
              <w:t>100%</w:t>
            </w:r>
          </w:p>
        </w:tc>
        <w:tc>
          <w:tcPr>
            <w:tcW w:w="1531" w:type="dxa"/>
            <w:vAlign w:val="center"/>
          </w:tcPr>
          <w:p w:rsidR="00140040" w:rsidRDefault="00140040" w:rsidP="00AA4083">
            <w:pPr>
              <w:jc w:val="center"/>
              <w:rPr>
                <w:b/>
                <w:spacing w:val="-2"/>
                <w:sz w:val="22"/>
                <w:szCs w:val="22"/>
              </w:rPr>
            </w:pPr>
            <w:r w:rsidRPr="00851CBE">
              <w:rPr>
                <w:b/>
                <w:spacing w:val="-2"/>
                <w:sz w:val="22"/>
                <w:szCs w:val="22"/>
              </w:rPr>
              <w:t xml:space="preserve">-138,5 / </w:t>
            </w:r>
          </w:p>
          <w:p w:rsidR="00140040" w:rsidRPr="00851CBE" w:rsidRDefault="00140040" w:rsidP="00AA4083">
            <w:pPr>
              <w:jc w:val="center"/>
              <w:rPr>
                <w:b/>
                <w:spacing w:val="-2"/>
                <w:sz w:val="22"/>
                <w:szCs w:val="22"/>
              </w:rPr>
            </w:pPr>
            <w:r w:rsidRPr="00851CBE">
              <w:rPr>
                <w:b/>
                <w:spacing w:val="-2"/>
                <w:sz w:val="22"/>
                <w:szCs w:val="22"/>
              </w:rPr>
              <w:t>-33,4%</w:t>
            </w:r>
          </w:p>
        </w:tc>
        <w:tc>
          <w:tcPr>
            <w:tcW w:w="1644" w:type="dxa"/>
            <w:vAlign w:val="center"/>
          </w:tcPr>
          <w:p w:rsidR="00140040" w:rsidRDefault="00140040" w:rsidP="00140040">
            <w:pPr>
              <w:jc w:val="center"/>
              <w:rPr>
                <w:b/>
                <w:spacing w:val="-2"/>
                <w:sz w:val="22"/>
                <w:szCs w:val="22"/>
              </w:rPr>
            </w:pPr>
            <w:r w:rsidRPr="00851CBE">
              <w:rPr>
                <w:b/>
                <w:spacing w:val="-2"/>
                <w:sz w:val="22"/>
                <w:szCs w:val="22"/>
              </w:rPr>
              <w:t>-</w:t>
            </w:r>
            <w:r>
              <w:rPr>
                <w:b/>
                <w:spacing w:val="-2"/>
                <w:sz w:val="22"/>
                <w:szCs w:val="22"/>
              </w:rPr>
              <w:t>135,0</w:t>
            </w:r>
            <w:r w:rsidRPr="00851CBE">
              <w:rPr>
                <w:b/>
                <w:spacing w:val="-2"/>
                <w:sz w:val="22"/>
                <w:szCs w:val="22"/>
              </w:rPr>
              <w:t xml:space="preserve"> / </w:t>
            </w:r>
          </w:p>
          <w:p w:rsidR="00140040" w:rsidRPr="00851CBE" w:rsidRDefault="00140040" w:rsidP="00140040">
            <w:pPr>
              <w:jc w:val="center"/>
              <w:rPr>
                <w:b/>
                <w:spacing w:val="-2"/>
                <w:sz w:val="22"/>
                <w:szCs w:val="22"/>
              </w:rPr>
            </w:pPr>
            <w:r w:rsidRPr="00851CBE">
              <w:rPr>
                <w:b/>
                <w:spacing w:val="-2"/>
                <w:sz w:val="22"/>
                <w:szCs w:val="22"/>
              </w:rPr>
              <w:t>-</w:t>
            </w:r>
            <w:r>
              <w:rPr>
                <w:b/>
                <w:spacing w:val="-2"/>
                <w:sz w:val="22"/>
                <w:szCs w:val="22"/>
              </w:rPr>
              <w:t>48,8</w:t>
            </w:r>
            <w:r w:rsidRPr="00851CBE">
              <w:rPr>
                <w:b/>
                <w:spacing w:val="-2"/>
                <w:sz w:val="22"/>
                <w:szCs w:val="22"/>
              </w:rPr>
              <w:t>%</w:t>
            </w:r>
          </w:p>
        </w:tc>
      </w:tr>
    </w:tbl>
    <w:p w:rsidR="006E7015" w:rsidRDefault="006E7015" w:rsidP="000E591C">
      <w:pPr>
        <w:spacing w:before="120"/>
        <w:ind w:firstLine="567"/>
        <w:jc w:val="both"/>
        <w:rPr>
          <w:rFonts w:ascii="Times New Roman CYR" w:hAnsi="Times New Roman CYR" w:cs="Times New Roman CYR"/>
        </w:rPr>
      </w:pPr>
      <w:proofErr w:type="gramStart"/>
      <w:r>
        <w:rPr>
          <w:rFonts w:ascii="Times New Roman CYR" w:hAnsi="Times New Roman CYR" w:cs="Times New Roman CYR"/>
        </w:rPr>
        <w:t>В связи с изменением в БК РФ доходы от аренды за земельные участки</w:t>
      </w:r>
      <w:proofErr w:type="gramEnd"/>
      <w:r>
        <w:rPr>
          <w:rFonts w:ascii="Times New Roman CYR" w:hAnsi="Times New Roman CYR" w:cs="Times New Roman CYR"/>
        </w:rPr>
        <w:t>, расположенные в сельских поселениях, поступают по нормативу 100% в бюджет муниципального района.</w:t>
      </w:r>
    </w:p>
    <w:p w:rsidR="007566FC" w:rsidRPr="007566FC" w:rsidRDefault="007566FC" w:rsidP="007566FC">
      <w:pPr>
        <w:spacing w:before="60"/>
        <w:ind w:firstLine="567"/>
        <w:jc w:val="both"/>
        <w:rPr>
          <w:rFonts w:ascii="Times New Roman CYR" w:hAnsi="Times New Roman CYR" w:cs="Times New Roman CYR"/>
          <w:i/>
        </w:rPr>
      </w:pPr>
      <w:r w:rsidRPr="007566FC">
        <w:rPr>
          <w:rFonts w:ascii="Times New Roman CYR" w:hAnsi="Times New Roman CYR" w:cs="Times New Roman CYR"/>
          <w:i/>
        </w:rPr>
        <w:t>В пояснительной записке отсутствует информация о значительном снижении п</w:t>
      </w:r>
      <w:r w:rsidRPr="007566FC">
        <w:rPr>
          <w:rFonts w:ascii="Times New Roman CYR" w:hAnsi="Times New Roman CYR" w:cs="Times New Roman CYR"/>
          <w:i/>
        </w:rPr>
        <w:t>о</w:t>
      </w:r>
      <w:r w:rsidRPr="007566FC">
        <w:rPr>
          <w:rFonts w:ascii="Times New Roman CYR" w:hAnsi="Times New Roman CYR" w:cs="Times New Roman CYR"/>
          <w:i/>
        </w:rPr>
        <w:t>ступления доходов от оказания платных услуг</w:t>
      </w:r>
      <w:r>
        <w:rPr>
          <w:rFonts w:ascii="Times New Roman CYR" w:hAnsi="Times New Roman CYR" w:cs="Times New Roman CYR"/>
          <w:i/>
        </w:rPr>
        <w:t xml:space="preserve"> по отношению к 2014 году</w:t>
      </w:r>
      <w:r w:rsidRPr="007566FC">
        <w:rPr>
          <w:rFonts w:ascii="Times New Roman CYR" w:hAnsi="Times New Roman CYR" w:cs="Times New Roman CYR"/>
          <w:i/>
        </w:rPr>
        <w:t>.</w:t>
      </w:r>
    </w:p>
    <w:p w:rsidR="009C03FE" w:rsidRPr="0029403D" w:rsidRDefault="005E15EC" w:rsidP="009C03FE">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1043B8">
        <w:rPr>
          <w:bCs/>
          <w:iCs/>
        </w:rPr>
        <w:t>2015</w:t>
      </w:r>
      <w:r w:rsidR="009C03FE" w:rsidRPr="0029403D">
        <w:rPr>
          <w:bCs/>
          <w:iCs/>
        </w:rPr>
        <w:t xml:space="preserve"> год исполнены в объеме </w:t>
      </w:r>
      <w:r w:rsidR="00F06FF6">
        <w:rPr>
          <w:bCs/>
          <w:iCs/>
        </w:rPr>
        <w:t>11152,6</w:t>
      </w:r>
      <w:r w:rsidR="009C03FE" w:rsidRPr="0029403D">
        <w:rPr>
          <w:bCs/>
          <w:iCs/>
        </w:rPr>
        <w:t xml:space="preserve"> тыс. руб. или </w:t>
      </w:r>
      <w:r w:rsidR="00851CBE">
        <w:rPr>
          <w:bCs/>
          <w:iCs/>
        </w:rPr>
        <w:t>99,3</w:t>
      </w:r>
      <w:r w:rsidR="009C03FE" w:rsidRPr="0029403D">
        <w:rPr>
          <w:bCs/>
          <w:iCs/>
        </w:rPr>
        <w:t>% от плановых назначений</w:t>
      </w:r>
      <w:r w:rsidR="007A3BFC">
        <w:t xml:space="preserve"> </w:t>
      </w:r>
      <w:r w:rsidR="007A3BFC" w:rsidRPr="0029403D">
        <w:t>(</w:t>
      </w:r>
      <w:r w:rsidR="007A3BFC">
        <w:t>недоисполнение</w:t>
      </w:r>
      <w:r w:rsidR="007A3BFC" w:rsidRPr="0029403D">
        <w:t xml:space="preserve"> – </w:t>
      </w:r>
      <w:r w:rsidR="00F06FF6">
        <w:t>83,2</w:t>
      </w:r>
      <w:r w:rsidR="007A3BFC" w:rsidRPr="0029403D">
        <w:t xml:space="preserve"> тыс. руб.)</w:t>
      </w:r>
      <w:r w:rsidR="007A3BFC">
        <w:t>.</w:t>
      </w:r>
    </w:p>
    <w:p w:rsidR="005E15EC" w:rsidRPr="0029403D" w:rsidRDefault="005E15EC" w:rsidP="000E591C">
      <w:pPr>
        <w:spacing w:before="6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BE7D9D">
        <w:t>3</w:t>
      </w:r>
      <w:r w:rsidRPr="0029403D">
        <w:t>.</w:t>
      </w:r>
    </w:p>
    <w:p w:rsidR="005E15EC" w:rsidRPr="000D210C" w:rsidRDefault="005E15EC" w:rsidP="008E6DBC">
      <w:pPr>
        <w:spacing w:before="120" w:after="120"/>
        <w:jc w:val="center"/>
        <w:rPr>
          <w:sz w:val="22"/>
          <w:szCs w:val="22"/>
        </w:rPr>
      </w:pPr>
      <w:r w:rsidRPr="000D210C">
        <w:rPr>
          <w:sz w:val="22"/>
          <w:szCs w:val="22"/>
        </w:rPr>
        <w:t xml:space="preserve">Таблица </w:t>
      </w:r>
      <w:r w:rsidR="00BE7D9D">
        <w:rPr>
          <w:sz w:val="22"/>
          <w:szCs w:val="22"/>
        </w:rPr>
        <w:t>3</w:t>
      </w:r>
      <w:r w:rsidRPr="000D210C">
        <w:rPr>
          <w:sz w:val="22"/>
          <w:szCs w:val="22"/>
        </w:rPr>
        <w:t xml:space="preserve">. </w:t>
      </w:r>
      <w:r w:rsidR="004E793D" w:rsidRPr="000D210C">
        <w:rPr>
          <w:sz w:val="22"/>
          <w:szCs w:val="22"/>
        </w:rPr>
        <w:t>С</w:t>
      </w:r>
      <w:r w:rsidRPr="000D210C">
        <w:rPr>
          <w:sz w:val="22"/>
          <w:szCs w:val="22"/>
        </w:rPr>
        <w:t>труктур</w:t>
      </w:r>
      <w:r w:rsidR="004E793D" w:rsidRPr="000D210C">
        <w:rPr>
          <w:sz w:val="22"/>
          <w:szCs w:val="22"/>
        </w:rPr>
        <w:t>а</w:t>
      </w:r>
      <w:r w:rsidRPr="000D210C">
        <w:rPr>
          <w:sz w:val="22"/>
          <w:szCs w:val="22"/>
        </w:rPr>
        <w:t xml:space="preserve"> безвозмездных поступлений местного бюджета, тыс. руб.</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0"/>
        <w:gridCol w:w="850"/>
        <w:gridCol w:w="965"/>
        <w:gridCol w:w="794"/>
        <w:gridCol w:w="794"/>
        <w:gridCol w:w="794"/>
        <w:gridCol w:w="1589"/>
        <w:gridCol w:w="1559"/>
      </w:tblGrid>
      <w:tr w:rsidR="000C0B4C" w:rsidRPr="0029403D" w:rsidTr="00F06FF6">
        <w:trPr>
          <w:trHeight w:val="528"/>
        </w:trPr>
        <w:tc>
          <w:tcPr>
            <w:tcW w:w="1701" w:type="dxa"/>
            <w:vMerge w:val="restart"/>
            <w:vAlign w:val="center"/>
          </w:tcPr>
          <w:p w:rsidR="000C0B4C" w:rsidRPr="0029403D" w:rsidRDefault="000C0B4C" w:rsidP="00F06FF6">
            <w:pPr>
              <w:jc w:val="center"/>
              <w:rPr>
                <w:i/>
                <w:sz w:val="20"/>
                <w:szCs w:val="20"/>
              </w:rPr>
            </w:pPr>
            <w:r w:rsidRPr="0029403D">
              <w:rPr>
                <w:i/>
                <w:sz w:val="20"/>
                <w:szCs w:val="20"/>
              </w:rPr>
              <w:t>Наименования дохода</w:t>
            </w:r>
          </w:p>
        </w:tc>
        <w:tc>
          <w:tcPr>
            <w:tcW w:w="2665" w:type="dxa"/>
            <w:gridSpan w:val="3"/>
            <w:vAlign w:val="center"/>
          </w:tcPr>
          <w:p w:rsidR="000C0B4C" w:rsidRPr="0029403D" w:rsidRDefault="000C0B4C" w:rsidP="00BE7D9D">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3148" w:type="dxa"/>
            <w:gridSpan w:val="2"/>
            <w:vAlign w:val="center"/>
          </w:tcPr>
          <w:p w:rsidR="000C0B4C" w:rsidRPr="0029403D" w:rsidRDefault="000C0B4C" w:rsidP="00ED23C5">
            <w:pPr>
              <w:jc w:val="center"/>
              <w:rPr>
                <w:i/>
                <w:sz w:val="20"/>
                <w:szCs w:val="20"/>
              </w:rPr>
            </w:pPr>
            <w:r w:rsidRPr="0029403D">
              <w:rPr>
                <w:i/>
                <w:sz w:val="20"/>
                <w:szCs w:val="20"/>
              </w:rPr>
              <w:t>Абсолютный прирост (тыс. руб./проценты)</w:t>
            </w:r>
          </w:p>
        </w:tc>
      </w:tr>
      <w:tr w:rsidR="000C0B4C" w:rsidRPr="0029403D" w:rsidTr="00F06FF6">
        <w:trPr>
          <w:trHeight w:val="298"/>
        </w:trPr>
        <w:tc>
          <w:tcPr>
            <w:tcW w:w="1701" w:type="dxa"/>
            <w:vMerge/>
            <w:vAlign w:val="center"/>
          </w:tcPr>
          <w:p w:rsidR="000C0B4C" w:rsidRPr="0029403D" w:rsidRDefault="000C0B4C" w:rsidP="00877B5F">
            <w:pPr>
              <w:rPr>
                <w:i/>
                <w:sz w:val="20"/>
                <w:szCs w:val="20"/>
              </w:rPr>
            </w:pPr>
          </w:p>
        </w:tc>
        <w:tc>
          <w:tcPr>
            <w:tcW w:w="850" w:type="dxa"/>
            <w:vAlign w:val="center"/>
          </w:tcPr>
          <w:p w:rsidR="000C0B4C" w:rsidRPr="0029403D" w:rsidRDefault="001043B8" w:rsidP="00877B5F">
            <w:pPr>
              <w:jc w:val="center"/>
              <w:rPr>
                <w:i/>
                <w:sz w:val="20"/>
                <w:szCs w:val="20"/>
              </w:rPr>
            </w:pPr>
            <w:r>
              <w:rPr>
                <w:i/>
                <w:sz w:val="20"/>
                <w:szCs w:val="20"/>
              </w:rPr>
              <w:t>2013</w:t>
            </w:r>
          </w:p>
        </w:tc>
        <w:tc>
          <w:tcPr>
            <w:tcW w:w="850" w:type="dxa"/>
            <w:vAlign w:val="center"/>
          </w:tcPr>
          <w:p w:rsidR="000C0B4C" w:rsidRPr="0029403D" w:rsidRDefault="001043B8" w:rsidP="00877B5F">
            <w:pPr>
              <w:jc w:val="center"/>
              <w:rPr>
                <w:i/>
                <w:sz w:val="20"/>
                <w:szCs w:val="20"/>
              </w:rPr>
            </w:pPr>
            <w:r>
              <w:rPr>
                <w:i/>
                <w:sz w:val="20"/>
                <w:szCs w:val="20"/>
              </w:rPr>
              <w:t>2014</w:t>
            </w:r>
          </w:p>
        </w:tc>
        <w:tc>
          <w:tcPr>
            <w:tcW w:w="964" w:type="dxa"/>
            <w:vAlign w:val="center"/>
          </w:tcPr>
          <w:p w:rsidR="000C0B4C" w:rsidRPr="0029403D" w:rsidRDefault="001043B8" w:rsidP="00877B5F">
            <w:pPr>
              <w:jc w:val="center"/>
              <w:rPr>
                <w:i/>
                <w:sz w:val="20"/>
                <w:szCs w:val="20"/>
              </w:rPr>
            </w:pPr>
            <w:r>
              <w:rPr>
                <w:i/>
                <w:sz w:val="20"/>
                <w:szCs w:val="20"/>
              </w:rPr>
              <w:t>2015</w:t>
            </w:r>
          </w:p>
        </w:tc>
        <w:tc>
          <w:tcPr>
            <w:tcW w:w="794" w:type="dxa"/>
            <w:vAlign w:val="center"/>
          </w:tcPr>
          <w:p w:rsidR="000C0B4C" w:rsidRPr="0029403D" w:rsidRDefault="001043B8" w:rsidP="00877B5F">
            <w:pPr>
              <w:jc w:val="center"/>
              <w:rPr>
                <w:i/>
                <w:sz w:val="20"/>
                <w:szCs w:val="20"/>
              </w:rPr>
            </w:pPr>
            <w:r>
              <w:rPr>
                <w:i/>
                <w:sz w:val="20"/>
                <w:szCs w:val="20"/>
              </w:rPr>
              <w:t>2013</w:t>
            </w:r>
          </w:p>
        </w:tc>
        <w:tc>
          <w:tcPr>
            <w:tcW w:w="794" w:type="dxa"/>
            <w:vAlign w:val="center"/>
          </w:tcPr>
          <w:p w:rsidR="000C0B4C" w:rsidRPr="0029403D" w:rsidRDefault="001043B8" w:rsidP="00877B5F">
            <w:pPr>
              <w:jc w:val="center"/>
              <w:rPr>
                <w:i/>
                <w:sz w:val="20"/>
                <w:szCs w:val="20"/>
              </w:rPr>
            </w:pPr>
            <w:r>
              <w:rPr>
                <w:i/>
                <w:sz w:val="20"/>
                <w:szCs w:val="20"/>
              </w:rPr>
              <w:t>2014</w:t>
            </w:r>
          </w:p>
        </w:tc>
        <w:tc>
          <w:tcPr>
            <w:tcW w:w="794" w:type="dxa"/>
            <w:vAlign w:val="center"/>
          </w:tcPr>
          <w:p w:rsidR="000C0B4C" w:rsidRPr="0029403D" w:rsidRDefault="001043B8" w:rsidP="00877B5F">
            <w:pPr>
              <w:jc w:val="center"/>
              <w:rPr>
                <w:i/>
                <w:sz w:val="20"/>
                <w:szCs w:val="20"/>
              </w:rPr>
            </w:pPr>
            <w:r>
              <w:rPr>
                <w:i/>
                <w:sz w:val="20"/>
                <w:szCs w:val="20"/>
              </w:rPr>
              <w:t>2015</w:t>
            </w:r>
          </w:p>
        </w:tc>
        <w:tc>
          <w:tcPr>
            <w:tcW w:w="1589" w:type="dxa"/>
            <w:vAlign w:val="center"/>
          </w:tcPr>
          <w:p w:rsidR="000C0B4C" w:rsidRPr="0029403D" w:rsidRDefault="001043B8" w:rsidP="00877B5F">
            <w:pPr>
              <w:jc w:val="center"/>
              <w:rPr>
                <w:i/>
                <w:sz w:val="20"/>
                <w:szCs w:val="20"/>
              </w:rPr>
            </w:pPr>
            <w:r>
              <w:rPr>
                <w:i/>
                <w:sz w:val="20"/>
                <w:szCs w:val="20"/>
              </w:rPr>
              <w:t>2014</w:t>
            </w:r>
            <w:r w:rsidR="00ED23C5">
              <w:rPr>
                <w:i/>
                <w:sz w:val="20"/>
                <w:szCs w:val="20"/>
              </w:rPr>
              <w:t xml:space="preserve"> к </w:t>
            </w:r>
            <w:r>
              <w:rPr>
                <w:i/>
                <w:sz w:val="20"/>
                <w:szCs w:val="20"/>
              </w:rPr>
              <w:t>2013</w:t>
            </w:r>
          </w:p>
        </w:tc>
        <w:tc>
          <w:tcPr>
            <w:tcW w:w="1559" w:type="dxa"/>
            <w:vAlign w:val="center"/>
          </w:tcPr>
          <w:p w:rsidR="000C0B4C" w:rsidRPr="0029403D" w:rsidRDefault="001043B8" w:rsidP="00877B5F">
            <w:pPr>
              <w:jc w:val="center"/>
              <w:rPr>
                <w:i/>
                <w:sz w:val="20"/>
                <w:szCs w:val="20"/>
              </w:rPr>
            </w:pPr>
            <w:r>
              <w:rPr>
                <w:i/>
                <w:sz w:val="20"/>
                <w:szCs w:val="20"/>
              </w:rPr>
              <w:t>2015</w:t>
            </w:r>
            <w:r w:rsidR="00ED23C5">
              <w:rPr>
                <w:i/>
                <w:sz w:val="20"/>
                <w:szCs w:val="20"/>
              </w:rPr>
              <w:t xml:space="preserve"> к </w:t>
            </w:r>
            <w:r>
              <w:rPr>
                <w:i/>
                <w:sz w:val="20"/>
                <w:szCs w:val="20"/>
              </w:rPr>
              <w:t>2014</w:t>
            </w:r>
          </w:p>
        </w:tc>
      </w:tr>
      <w:tr w:rsidR="00F06FF6" w:rsidRPr="0029403D" w:rsidTr="00F06FF6">
        <w:trPr>
          <w:trHeight w:val="283"/>
        </w:trPr>
        <w:tc>
          <w:tcPr>
            <w:tcW w:w="1701" w:type="dxa"/>
          </w:tcPr>
          <w:p w:rsidR="00F06FF6" w:rsidRPr="0029403D" w:rsidRDefault="00F06FF6" w:rsidP="00ED23C5">
            <w:pPr>
              <w:spacing w:before="40"/>
              <w:rPr>
                <w:sz w:val="22"/>
                <w:szCs w:val="22"/>
              </w:rPr>
            </w:pPr>
            <w:r w:rsidRPr="0029403D">
              <w:rPr>
                <w:sz w:val="22"/>
                <w:szCs w:val="22"/>
              </w:rPr>
              <w:t>Дотации</w:t>
            </w:r>
          </w:p>
        </w:tc>
        <w:tc>
          <w:tcPr>
            <w:tcW w:w="850" w:type="dxa"/>
            <w:vAlign w:val="center"/>
          </w:tcPr>
          <w:p w:rsidR="00F06FF6" w:rsidRPr="00851CBE" w:rsidRDefault="00F06FF6" w:rsidP="00AA4083">
            <w:pPr>
              <w:jc w:val="center"/>
              <w:rPr>
                <w:sz w:val="22"/>
                <w:szCs w:val="22"/>
              </w:rPr>
            </w:pPr>
            <w:r w:rsidRPr="00851CBE">
              <w:rPr>
                <w:sz w:val="22"/>
                <w:szCs w:val="22"/>
              </w:rPr>
              <w:t>5431,5</w:t>
            </w:r>
          </w:p>
        </w:tc>
        <w:tc>
          <w:tcPr>
            <w:tcW w:w="850" w:type="dxa"/>
            <w:vAlign w:val="center"/>
          </w:tcPr>
          <w:p w:rsidR="00F06FF6" w:rsidRPr="00851CBE" w:rsidRDefault="00F06FF6" w:rsidP="00AA4083">
            <w:pPr>
              <w:jc w:val="center"/>
              <w:rPr>
                <w:sz w:val="22"/>
                <w:szCs w:val="22"/>
              </w:rPr>
            </w:pPr>
            <w:r>
              <w:rPr>
                <w:sz w:val="22"/>
                <w:szCs w:val="22"/>
              </w:rPr>
              <w:t>6911,4</w:t>
            </w:r>
          </w:p>
        </w:tc>
        <w:tc>
          <w:tcPr>
            <w:tcW w:w="964" w:type="dxa"/>
            <w:vAlign w:val="center"/>
          </w:tcPr>
          <w:p w:rsidR="00F06FF6" w:rsidRPr="00851CBE" w:rsidRDefault="00F06FF6" w:rsidP="005A78A0">
            <w:pPr>
              <w:jc w:val="center"/>
              <w:rPr>
                <w:sz w:val="22"/>
                <w:szCs w:val="22"/>
              </w:rPr>
            </w:pPr>
            <w:r>
              <w:rPr>
                <w:sz w:val="22"/>
                <w:szCs w:val="22"/>
              </w:rPr>
              <w:t>6645,6</w:t>
            </w:r>
          </w:p>
        </w:tc>
        <w:tc>
          <w:tcPr>
            <w:tcW w:w="794" w:type="dxa"/>
            <w:vAlign w:val="center"/>
          </w:tcPr>
          <w:p w:rsidR="00F06FF6" w:rsidRPr="00851CBE" w:rsidRDefault="00F06FF6" w:rsidP="00AA4083">
            <w:pPr>
              <w:jc w:val="center"/>
              <w:rPr>
                <w:sz w:val="22"/>
                <w:szCs w:val="22"/>
              </w:rPr>
            </w:pPr>
            <w:r w:rsidRPr="00851CBE">
              <w:rPr>
                <w:sz w:val="22"/>
                <w:szCs w:val="22"/>
              </w:rPr>
              <w:t>74,0%</w:t>
            </w:r>
          </w:p>
        </w:tc>
        <w:tc>
          <w:tcPr>
            <w:tcW w:w="794" w:type="dxa"/>
            <w:vAlign w:val="center"/>
          </w:tcPr>
          <w:p w:rsidR="00F06FF6" w:rsidRPr="00851CBE" w:rsidRDefault="00F06FF6" w:rsidP="00AA4083">
            <w:pPr>
              <w:jc w:val="center"/>
              <w:rPr>
                <w:sz w:val="22"/>
                <w:szCs w:val="22"/>
              </w:rPr>
            </w:pPr>
            <w:r>
              <w:rPr>
                <w:sz w:val="22"/>
                <w:szCs w:val="22"/>
              </w:rPr>
              <w:t>85,1%</w:t>
            </w:r>
          </w:p>
        </w:tc>
        <w:tc>
          <w:tcPr>
            <w:tcW w:w="794" w:type="dxa"/>
            <w:vAlign w:val="center"/>
          </w:tcPr>
          <w:p w:rsidR="00F06FF6" w:rsidRPr="00851CBE" w:rsidRDefault="00F06FF6" w:rsidP="005A78A0">
            <w:pPr>
              <w:jc w:val="center"/>
              <w:rPr>
                <w:sz w:val="22"/>
                <w:szCs w:val="22"/>
              </w:rPr>
            </w:pPr>
            <w:r>
              <w:rPr>
                <w:sz w:val="22"/>
                <w:szCs w:val="22"/>
              </w:rPr>
              <w:t>59,6%</w:t>
            </w:r>
          </w:p>
        </w:tc>
        <w:tc>
          <w:tcPr>
            <w:tcW w:w="1589" w:type="dxa"/>
            <w:vAlign w:val="center"/>
          </w:tcPr>
          <w:p w:rsidR="00F06FF6" w:rsidRPr="00851CBE" w:rsidRDefault="00F06FF6" w:rsidP="00AA4083">
            <w:pPr>
              <w:jc w:val="center"/>
              <w:rPr>
                <w:spacing w:val="-2"/>
                <w:sz w:val="22"/>
                <w:szCs w:val="22"/>
              </w:rPr>
            </w:pPr>
            <w:r w:rsidRPr="00851CBE">
              <w:rPr>
                <w:spacing w:val="-2"/>
                <w:sz w:val="22"/>
                <w:szCs w:val="22"/>
              </w:rPr>
              <w:t>1479,9 / 27,2%</w:t>
            </w:r>
          </w:p>
        </w:tc>
        <w:tc>
          <w:tcPr>
            <w:tcW w:w="1559" w:type="dxa"/>
            <w:vAlign w:val="center"/>
          </w:tcPr>
          <w:p w:rsidR="00F06FF6" w:rsidRPr="00851CBE" w:rsidRDefault="00F06FF6" w:rsidP="00F06FF6">
            <w:pPr>
              <w:jc w:val="center"/>
              <w:rPr>
                <w:spacing w:val="-2"/>
                <w:sz w:val="22"/>
                <w:szCs w:val="22"/>
              </w:rPr>
            </w:pPr>
            <w:r>
              <w:rPr>
                <w:spacing w:val="-2"/>
                <w:sz w:val="22"/>
                <w:szCs w:val="22"/>
              </w:rPr>
              <w:t>-265,8</w:t>
            </w:r>
            <w:r w:rsidRPr="00851CBE">
              <w:rPr>
                <w:spacing w:val="-2"/>
                <w:sz w:val="22"/>
                <w:szCs w:val="22"/>
              </w:rPr>
              <w:t xml:space="preserve"> / </w:t>
            </w:r>
            <w:r>
              <w:rPr>
                <w:spacing w:val="-2"/>
                <w:sz w:val="22"/>
                <w:szCs w:val="22"/>
              </w:rPr>
              <w:t>-3,8</w:t>
            </w:r>
            <w:r w:rsidRPr="00851CBE">
              <w:rPr>
                <w:spacing w:val="-2"/>
                <w:sz w:val="22"/>
                <w:szCs w:val="22"/>
              </w:rPr>
              <w:t>%</w:t>
            </w:r>
          </w:p>
        </w:tc>
      </w:tr>
      <w:tr w:rsidR="00F06FF6" w:rsidRPr="0029403D" w:rsidTr="00F06FF6">
        <w:trPr>
          <w:trHeight w:val="283"/>
        </w:trPr>
        <w:tc>
          <w:tcPr>
            <w:tcW w:w="1701" w:type="dxa"/>
          </w:tcPr>
          <w:p w:rsidR="00F06FF6" w:rsidRPr="0029403D" w:rsidRDefault="00F06FF6" w:rsidP="00ED23C5">
            <w:pPr>
              <w:spacing w:before="40"/>
              <w:rPr>
                <w:sz w:val="22"/>
                <w:szCs w:val="22"/>
              </w:rPr>
            </w:pPr>
            <w:r w:rsidRPr="0029403D">
              <w:rPr>
                <w:sz w:val="22"/>
                <w:szCs w:val="22"/>
              </w:rPr>
              <w:t>Субсидии</w:t>
            </w:r>
          </w:p>
        </w:tc>
        <w:tc>
          <w:tcPr>
            <w:tcW w:w="850" w:type="dxa"/>
            <w:vAlign w:val="center"/>
          </w:tcPr>
          <w:p w:rsidR="00F06FF6" w:rsidRPr="00851CBE" w:rsidRDefault="00F06FF6" w:rsidP="00AA4083">
            <w:pPr>
              <w:jc w:val="center"/>
              <w:rPr>
                <w:sz w:val="22"/>
                <w:szCs w:val="22"/>
              </w:rPr>
            </w:pPr>
            <w:r w:rsidRPr="00851CBE">
              <w:rPr>
                <w:sz w:val="22"/>
                <w:szCs w:val="22"/>
              </w:rPr>
              <w:t>1653,5</w:t>
            </w:r>
          </w:p>
        </w:tc>
        <w:tc>
          <w:tcPr>
            <w:tcW w:w="850" w:type="dxa"/>
            <w:vAlign w:val="center"/>
          </w:tcPr>
          <w:p w:rsidR="00F06FF6" w:rsidRPr="00851CBE" w:rsidRDefault="00F06FF6" w:rsidP="00AA4083">
            <w:pPr>
              <w:jc w:val="center"/>
              <w:rPr>
                <w:sz w:val="22"/>
                <w:szCs w:val="22"/>
              </w:rPr>
            </w:pPr>
            <w:r>
              <w:rPr>
                <w:sz w:val="22"/>
                <w:szCs w:val="22"/>
              </w:rPr>
              <w:t>796,2</w:t>
            </w:r>
          </w:p>
        </w:tc>
        <w:tc>
          <w:tcPr>
            <w:tcW w:w="964" w:type="dxa"/>
            <w:vAlign w:val="center"/>
          </w:tcPr>
          <w:p w:rsidR="00F06FF6" w:rsidRPr="00851CBE" w:rsidRDefault="00F06FF6" w:rsidP="00AD6F5E">
            <w:pPr>
              <w:jc w:val="center"/>
              <w:rPr>
                <w:sz w:val="22"/>
                <w:szCs w:val="22"/>
              </w:rPr>
            </w:pPr>
            <w:r>
              <w:rPr>
                <w:sz w:val="22"/>
                <w:szCs w:val="22"/>
              </w:rPr>
              <w:t>634,6</w:t>
            </w:r>
          </w:p>
        </w:tc>
        <w:tc>
          <w:tcPr>
            <w:tcW w:w="794" w:type="dxa"/>
            <w:vAlign w:val="center"/>
          </w:tcPr>
          <w:p w:rsidR="00F06FF6" w:rsidRPr="00851CBE" w:rsidRDefault="00F06FF6" w:rsidP="00AA4083">
            <w:pPr>
              <w:jc w:val="center"/>
              <w:rPr>
                <w:sz w:val="22"/>
                <w:szCs w:val="22"/>
              </w:rPr>
            </w:pPr>
            <w:r w:rsidRPr="00851CBE">
              <w:rPr>
                <w:sz w:val="22"/>
                <w:szCs w:val="22"/>
              </w:rPr>
              <w:t>22,5%</w:t>
            </w:r>
          </w:p>
        </w:tc>
        <w:tc>
          <w:tcPr>
            <w:tcW w:w="794" w:type="dxa"/>
            <w:vAlign w:val="center"/>
          </w:tcPr>
          <w:p w:rsidR="00F06FF6" w:rsidRPr="00851CBE" w:rsidRDefault="00F06FF6" w:rsidP="00AA4083">
            <w:pPr>
              <w:jc w:val="center"/>
              <w:rPr>
                <w:sz w:val="22"/>
                <w:szCs w:val="22"/>
              </w:rPr>
            </w:pPr>
            <w:r>
              <w:rPr>
                <w:sz w:val="22"/>
                <w:szCs w:val="22"/>
              </w:rPr>
              <w:t>9,8%</w:t>
            </w:r>
          </w:p>
        </w:tc>
        <w:tc>
          <w:tcPr>
            <w:tcW w:w="794" w:type="dxa"/>
            <w:vAlign w:val="center"/>
          </w:tcPr>
          <w:p w:rsidR="00F06FF6" w:rsidRPr="00851CBE" w:rsidRDefault="00F06FF6" w:rsidP="00AA4629">
            <w:pPr>
              <w:jc w:val="center"/>
              <w:rPr>
                <w:sz w:val="22"/>
                <w:szCs w:val="22"/>
              </w:rPr>
            </w:pPr>
            <w:r>
              <w:rPr>
                <w:sz w:val="22"/>
                <w:szCs w:val="22"/>
              </w:rPr>
              <w:t>5,7%</w:t>
            </w:r>
          </w:p>
        </w:tc>
        <w:tc>
          <w:tcPr>
            <w:tcW w:w="1589" w:type="dxa"/>
            <w:vAlign w:val="center"/>
          </w:tcPr>
          <w:p w:rsidR="00F06FF6" w:rsidRPr="00851CBE" w:rsidRDefault="00F06FF6" w:rsidP="00AA4083">
            <w:pPr>
              <w:jc w:val="center"/>
              <w:rPr>
                <w:spacing w:val="-2"/>
                <w:sz w:val="21"/>
                <w:szCs w:val="21"/>
              </w:rPr>
            </w:pPr>
            <w:r w:rsidRPr="00851CBE">
              <w:rPr>
                <w:spacing w:val="-2"/>
                <w:sz w:val="21"/>
                <w:szCs w:val="21"/>
              </w:rPr>
              <w:t>-857,3 / -51,8%</w:t>
            </w:r>
          </w:p>
        </w:tc>
        <w:tc>
          <w:tcPr>
            <w:tcW w:w="1559" w:type="dxa"/>
            <w:vAlign w:val="center"/>
          </w:tcPr>
          <w:p w:rsidR="00F06FF6" w:rsidRPr="00851CBE" w:rsidRDefault="00F06FF6" w:rsidP="00F06FF6">
            <w:pPr>
              <w:jc w:val="center"/>
              <w:rPr>
                <w:spacing w:val="-2"/>
                <w:sz w:val="21"/>
                <w:szCs w:val="21"/>
              </w:rPr>
            </w:pPr>
            <w:r>
              <w:rPr>
                <w:spacing w:val="-2"/>
                <w:sz w:val="21"/>
                <w:szCs w:val="21"/>
              </w:rPr>
              <w:t>-161,6</w:t>
            </w:r>
            <w:r w:rsidRPr="00851CBE">
              <w:rPr>
                <w:spacing w:val="-2"/>
                <w:sz w:val="21"/>
                <w:szCs w:val="21"/>
              </w:rPr>
              <w:t xml:space="preserve"> / -</w:t>
            </w:r>
            <w:r>
              <w:rPr>
                <w:spacing w:val="-2"/>
                <w:sz w:val="21"/>
                <w:szCs w:val="21"/>
              </w:rPr>
              <w:t>20,3</w:t>
            </w:r>
            <w:r w:rsidRPr="00851CBE">
              <w:rPr>
                <w:spacing w:val="-2"/>
                <w:sz w:val="21"/>
                <w:szCs w:val="21"/>
              </w:rPr>
              <w:t>%</w:t>
            </w:r>
          </w:p>
        </w:tc>
      </w:tr>
      <w:tr w:rsidR="00F06FF6" w:rsidRPr="0029403D" w:rsidTr="00F06FF6">
        <w:trPr>
          <w:trHeight w:val="283"/>
        </w:trPr>
        <w:tc>
          <w:tcPr>
            <w:tcW w:w="1701" w:type="dxa"/>
          </w:tcPr>
          <w:p w:rsidR="00F06FF6" w:rsidRPr="0029403D" w:rsidRDefault="00F06FF6" w:rsidP="00ED23C5">
            <w:pPr>
              <w:spacing w:before="40"/>
              <w:rPr>
                <w:sz w:val="22"/>
                <w:szCs w:val="22"/>
              </w:rPr>
            </w:pPr>
            <w:r w:rsidRPr="0029403D">
              <w:rPr>
                <w:sz w:val="22"/>
                <w:szCs w:val="22"/>
              </w:rPr>
              <w:t>Субвенции</w:t>
            </w:r>
          </w:p>
        </w:tc>
        <w:tc>
          <w:tcPr>
            <w:tcW w:w="850" w:type="dxa"/>
            <w:vAlign w:val="center"/>
          </w:tcPr>
          <w:p w:rsidR="00F06FF6" w:rsidRPr="00851CBE" w:rsidRDefault="00F06FF6" w:rsidP="00AA4083">
            <w:pPr>
              <w:jc w:val="center"/>
              <w:rPr>
                <w:sz w:val="22"/>
                <w:szCs w:val="22"/>
              </w:rPr>
            </w:pPr>
            <w:r w:rsidRPr="00851CBE">
              <w:rPr>
                <w:sz w:val="22"/>
                <w:szCs w:val="22"/>
              </w:rPr>
              <w:t>66,1</w:t>
            </w:r>
          </w:p>
        </w:tc>
        <w:tc>
          <w:tcPr>
            <w:tcW w:w="850" w:type="dxa"/>
            <w:vAlign w:val="center"/>
          </w:tcPr>
          <w:p w:rsidR="00F06FF6" w:rsidRPr="00851CBE" w:rsidRDefault="00F06FF6" w:rsidP="00AA4083">
            <w:pPr>
              <w:jc w:val="center"/>
              <w:rPr>
                <w:sz w:val="22"/>
                <w:szCs w:val="22"/>
              </w:rPr>
            </w:pPr>
            <w:r>
              <w:rPr>
                <w:sz w:val="22"/>
                <w:szCs w:val="22"/>
              </w:rPr>
              <w:t>72,8</w:t>
            </w:r>
          </w:p>
        </w:tc>
        <w:tc>
          <w:tcPr>
            <w:tcW w:w="964" w:type="dxa"/>
            <w:vAlign w:val="center"/>
          </w:tcPr>
          <w:p w:rsidR="00F06FF6" w:rsidRPr="00851CBE" w:rsidRDefault="00F06FF6" w:rsidP="00877B5F">
            <w:pPr>
              <w:jc w:val="center"/>
              <w:rPr>
                <w:sz w:val="22"/>
                <w:szCs w:val="22"/>
              </w:rPr>
            </w:pPr>
            <w:r>
              <w:rPr>
                <w:sz w:val="22"/>
                <w:szCs w:val="22"/>
              </w:rPr>
              <w:t>77,5</w:t>
            </w:r>
          </w:p>
        </w:tc>
        <w:tc>
          <w:tcPr>
            <w:tcW w:w="794" w:type="dxa"/>
            <w:vAlign w:val="center"/>
          </w:tcPr>
          <w:p w:rsidR="00F06FF6" w:rsidRPr="00851CBE" w:rsidRDefault="00F06FF6" w:rsidP="00AA4083">
            <w:pPr>
              <w:jc w:val="center"/>
              <w:rPr>
                <w:sz w:val="22"/>
                <w:szCs w:val="22"/>
              </w:rPr>
            </w:pPr>
            <w:r w:rsidRPr="00851CBE">
              <w:rPr>
                <w:sz w:val="22"/>
                <w:szCs w:val="22"/>
              </w:rPr>
              <w:t>0,9%</w:t>
            </w:r>
          </w:p>
        </w:tc>
        <w:tc>
          <w:tcPr>
            <w:tcW w:w="794" w:type="dxa"/>
            <w:vAlign w:val="center"/>
          </w:tcPr>
          <w:p w:rsidR="00F06FF6" w:rsidRPr="00851CBE" w:rsidRDefault="00F06FF6" w:rsidP="00AA4083">
            <w:pPr>
              <w:jc w:val="center"/>
              <w:rPr>
                <w:sz w:val="22"/>
                <w:szCs w:val="22"/>
              </w:rPr>
            </w:pPr>
            <w:r>
              <w:rPr>
                <w:sz w:val="22"/>
                <w:szCs w:val="22"/>
              </w:rPr>
              <w:t>0,9%</w:t>
            </w:r>
          </w:p>
        </w:tc>
        <w:tc>
          <w:tcPr>
            <w:tcW w:w="794" w:type="dxa"/>
            <w:vAlign w:val="center"/>
          </w:tcPr>
          <w:p w:rsidR="00F06FF6" w:rsidRPr="00851CBE" w:rsidRDefault="00F06FF6" w:rsidP="000C0393">
            <w:pPr>
              <w:jc w:val="center"/>
              <w:rPr>
                <w:sz w:val="22"/>
                <w:szCs w:val="22"/>
              </w:rPr>
            </w:pPr>
            <w:r>
              <w:rPr>
                <w:sz w:val="22"/>
                <w:szCs w:val="22"/>
              </w:rPr>
              <w:t>0,7%</w:t>
            </w:r>
          </w:p>
        </w:tc>
        <w:tc>
          <w:tcPr>
            <w:tcW w:w="1589" w:type="dxa"/>
            <w:vAlign w:val="center"/>
          </w:tcPr>
          <w:p w:rsidR="00F06FF6" w:rsidRPr="00851CBE" w:rsidRDefault="00F06FF6" w:rsidP="00AA4083">
            <w:pPr>
              <w:jc w:val="center"/>
              <w:rPr>
                <w:sz w:val="22"/>
                <w:szCs w:val="22"/>
              </w:rPr>
            </w:pPr>
            <w:r>
              <w:rPr>
                <w:sz w:val="22"/>
                <w:szCs w:val="22"/>
              </w:rPr>
              <w:t>6,7 / 10,1%</w:t>
            </w:r>
          </w:p>
        </w:tc>
        <w:tc>
          <w:tcPr>
            <w:tcW w:w="1559" w:type="dxa"/>
            <w:vAlign w:val="center"/>
          </w:tcPr>
          <w:p w:rsidR="00F06FF6" w:rsidRPr="00851CBE" w:rsidRDefault="00222BC0" w:rsidP="00222BC0">
            <w:pPr>
              <w:jc w:val="center"/>
              <w:rPr>
                <w:sz w:val="22"/>
                <w:szCs w:val="22"/>
              </w:rPr>
            </w:pPr>
            <w:r>
              <w:rPr>
                <w:sz w:val="22"/>
                <w:szCs w:val="22"/>
              </w:rPr>
              <w:t>4</w:t>
            </w:r>
            <w:r w:rsidR="00F06FF6">
              <w:rPr>
                <w:sz w:val="22"/>
                <w:szCs w:val="22"/>
              </w:rPr>
              <w:t>,7 /</w:t>
            </w:r>
            <w:r>
              <w:rPr>
                <w:sz w:val="22"/>
                <w:szCs w:val="22"/>
              </w:rPr>
              <w:t xml:space="preserve"> 6,5</w:t>
            </w:r>
            <w:r w:rsidR="00F06FF6">
              <w:rPr>
                <w:sz w:val="22"/>
                <w:szCs w:val="22"/>
              </w:rPr>
              <w:t>%</w:t>
            </w:r>
          </w:p>
        </w:tc>
      </w:tr>
      <w:tr w:rsidR="00F06FF6" w:rsidRPr="0029403D" w:rsidTr="00F06FF6">
        <w:trPr>
          <w:trHeight w:val="283"/>
        </w:trPr>
        <w:tc>
          <w:tcPr>
            <w:tcW w:w="1701" w:type="dxa"/>
          </w:tcPr>
          <w:p w:rsidR="00F06FF6" w:rsidRPr="0029403D" w:rsidRDefault="00F06FF6" w:rsidP="00222BC0">
            <w:pPr>
              <w:spacing w:before="120"/>
              <w:rPr>
                <w:sz w:val="22"/>
                <w:szCs w:val="22"/>
              </w:rPr>
            </w:pPr>
            <w:r>
              <w:rPr>
                <w:sz w:val="22"/>
                <w:szCs w:val="22"/>
              </w:rPr>
              <w:t>ИМБТ</w:t>
            </w:r>
          </w:p>
        </w:tc>
        <w:tc>
          <w:tcPr>
            <w:tcW w:w="850" w:type="dxa"/>
            <w:vAlign w:val="center"/>
          </w:tcPr>
          <w:p w:rsidR="00F06FF6" w:rsidRPr="00851CBE" w:rsidRDefault="00F06FF6" w:rsidP="00AA4083">
            <w:pPr>
              <w:jc w:val="center"/>
              <w:rPr>
                <w:sz w:val="22"/>
                <w:szCs w:val="22"/>
              </w:rPr>
            </w:pPr>
            <w:r w:rsidRPr="00851CBE">
              <w:rPr>
                <w:sz w:val="22"/>
                <w:szCs w:val="22"/>
              </w:rPr>
              <w:t>190,6</w:t>
            </w:r>
          </w:p>
        </w:tc>
        <w:tc>
          <w:tcPr>
            <w:tcW w:w="850" w:type="dxa"/>
            <w:vAlign w:val="center"/>
          </w:tcPr>
          <w:p w:rsidR="00F06FF6" w:rsidRPr="00851CBE" w:rsidRDefault="00F06FF6" w:rsidP="00AA4083">
            <w:pPr>
              <w:jc w:val="center"/>
              <w:rPr>
                <w:sz w:val="22"/>
                <w:szCs w:val="22"/>
              </w:rPr>
            </w:pPr>
            <w:r>
              <w:rPr>
                <w:sz w:val="22"/>
                <w:szCs w:val="22"/>
              </w:rPr>
              <w:t>394,8</w:t>
            </w:r>
          </w:p>
        </w:tc>
        <w:tc>
          <w:tcPr>
            <w:tcW w:w="964" w:type="dxa"/>
            <w:vAlign w:val="center"/>
          </w:tcPr>
          <w:p w:rsidR="00F06FF6" w:rsidRPr="00851CBE" w:rsidRDefault="00F06FF6" w:rsidP="00214D1D">
            <w:pPr>
              <w:jc w:val="center"/>
              <w:rPr>
                <w:sz w:val="22"/>
                <w:szCs w:val="22"/>
              </w:rPr>
            </w:pPr>
            <w:r>
              <w:rPr>
                <w:sz w:val="22"/>
                <w:szCs w:val="22"/>
              </w:rPr>
              <w:t>3794,9</w:t>
            </w:r>
          </w:p>
        </w:tc>
        <w:tc>
          <w:tcPr>
            <w:tcW w:w="794" w:type="dxa"/>
            <w:vAlign w:val="center"/>
          </w:tcPr>
          <w:p w:rsidR="00F06FF6" w:rsidRPr="00851CBE" w:rsidRDefault="00F06FF6" w:rsidP="00AA4083">
            <w:pPr>
              <w:jc w:val="center"/>
              <w:rPr>
                <w:sz w:val="22"/>
                <w:szCs w:val="22"/>
              </w:rPr>
            </w:pPr>
            <w:r w:rsidRPr="00851CBE">
              <w:rPr>
                <w:sz w:val="22"/>
                <w:szCs w:val="22"/>
              </w:rPr>
              <w:t>2,6%</w:t>
            </w:r>
          </w:p>
        </w:tc>
        <w:tc>
          <w:tcPr>
            <w:tcW w:w="794" w:type="dxa"/>
            <w:vAlign w:val="center"/>
          </w:tcPr>
          <w:p w:rsidR="00F06FF6" w:rsidRPr="00851CBE" w:rsidRDefault="00F06FF6" w:rsidP="00AA4083">
            <w:pPr>
              <w:jc w:val="center"/>
              <w:rPr>
                <w:sz w:val="22"/>
                <w:szCs w:val="22"/>
              </w:rPr>
            </w:pPr>
            <w:r>
              <w:rPr>
                <w:sz w:val="22"/>
                <w:szCs w:val="22"/>
              </w:rPr>
              <w:t>4,9%</w:t>
            </w:r>
          </w:p>
        </w:tc>
        <w:tc>
          <w:tcPr>
            <w:tcW w:w="794" w:type="dxa"/>
            <w:vAlign w:val="center"/>
          </w:tcPr>
          <w:p w:rsidR="00F06FF6" w:rsidRPr="00851CBE" w:rsidRDefault="00F06FF6" w:rsidP="00214D1D">
            <w:pPr>
              <w:jc w:val="center"/>
              <w:rPr>
                <w:sz w:val="22"/>
                <w:szCs w:val="22"/>
              </w:rPr>
            </w:pPr>
            <w:r>
              <w:rPr>
                <w:sz w:val="22"/>
                <w:szCs w:val="22"/>
              </w:rPr>
              <w:t>34,0%</w:t>
            </w:r>
          </w:p>
        </w:tc>
        <w:tc>
          <w:tcPr>
            <w:tcW w:w="1589" w:type="dxa"/>
            <w:vAlign w:val="center"/>
          </w:tcPr>
          <w:p w:rsidR="00F06FF6" w:rsidRPr="00851CBE" w:rsidRDefault="00F06FF6" w:rsidP="00AA4083">
            <w:pPr>
              <w:jc w:val="center"/>
              <w:rPr>
                <w:spacing w:val="-2"/>
                <w:sz w:val="22"/>
                <w:szCs w:val="22"/>
              </w:rPr>
            </w:pPr>
            <w:r w:rsidRPr="00851CBE">
              <w:rPr>
                <w:spacing w:val="-2"/>
                <w:sz w:val="22"/>
                <w:szCs w:val="22"/>
              </w:rPr>
              <w:t>204,2 / 107,1%</w:t>
            </w:r>
          </w:p>
        </w:tc>
        <w:tc>
          <w:tcPr>
            <w:tcW w:w="1559" w:type="dxa"/>
            <w:vAlign w:val="center"/>
          </w:tcPr>
          <w:p w:rsidR="00F06FF6" w:rsidRPr="00851CBE" w:rsidRDefault="00222BC0" w:rsidP="00222BC0">
            <w:pPr>
              <w:jc w:val="center"/>
              <w:rPr>
                <w:spacing w:val="-2"/>
                <w:sz w:val="22"/>
                <w:szCs w:val="22"/>
              </w:rPr>
            </w:pPr>
            <w:r>
              <w:rPr>
                <w:spacing w:val="-2"/>
                <w:sz w:val="22"/>
                <w:szCs w:val="22"/>
              </w:rPr>
              <w:t>3400,1</w:t>
            </w:r>
            <w:r w:rsidR="00F06FF6" w:rsidRPr="00851CBE">
              <w:rPr>
                <w:spacing w:val="-2"/>
                <w:sz w:val="22"/>
                <w:szCs w:val="22"/>
              </w:rPr>
              <w:t xml:space="preserve"> / </w:t>
            </w:r>
            <w:r>
              <w:rPr>
                <w:spacing w:val="-2"/>
                <w:sz w:val="22"/>
                <w:szCs w:val="22"/>
              </w:rPr>
              <w:t>9,6 раз</w:t>
            </w:r>
          </w:p>
        </w:tc>
      </w:tr>
      <w:tr w:rsidR="00F06FF6" w:rsidRPr="0029403D" w:rsidTr="00F06FF6">
        <w:trPr>
          <w:trHeight w:val="283"/>
        </w:trPr>
        <w:tc>
          <w:tcPr>
            <w:tcW w:w="1701" w:type="dxa"/>
          </w:tcPr>
          <w:p w:rsidR="00F06FF6" w:rsidRPr="0029403D" w:rsidRDefault="00F06FF6" w:rsidP="00851CBE">
            <w:pPr>
              <w:spacing w:before="40"/>
              <w:rPr>
                <w:sz w:val="22"/>
                <w:szCs w:val="22"/>
              </w:rPr>
            </w:pPr>
            <w:r>
              <w:rPr>
                <w:sz w:val="22"/>
                <w:szCs w:val="22"/>
              </w:rPr>
              <w:t>Возврат оста</w:t>
            </w:r>
            <w:r>
              <w:rPr>
                <w:sz w:val="22"/>
                <w:szCs w:val="22"/>
              </w:rPr>
              <w:t>т</w:t>
            </w:r>
            <w:r>
              <w:rPr>
                <w:sz w:val="22"/>
                <w:szCs w:val="22"/>
              </w:rPr>
              <w:t>ков МБТ</w:t>
            </w:r>
          </w:p>
        </w:tc>
        <w:tc>
          <w:tcPr>
            <w:tcW w:w="850" w:type="dxa"/>
            <w:vAlign w:val="center"/>
          </w:tcPr>
          <w:p w:rsidR="00F06FF6" w:rsidRPr="00851CBE" w:rsidRDefault="00F06FF6" w:rsidP="00AA4083">
            <w:pPr>
              <w:jc w:val="center"/>
              <w:rPr>
                <w:sz w:val="22"/>
                <w:szCs w:val="22"/>
              </w:rPr>
            </w:pPr>
          </w:p>
        </w:tc>
        <w:tc>
          <w:tcPr>
            <w:tcW w:w="850" w:type="dxa"/>
            <w:vAlign w:val="center"/>
          </w:tcPr>
          <w:p w:rsidR="00F06FF6" w:rsidRPr="00851CBE" w:rsidRDefault="00F06FF6" w:rsidP="00AA4083">
            <w:pPr>
              <w:jc w:val="center"/>
              <w:rPr>
                <w:sz w:val="22"/>
                <w:szCs w:val="22"/>
              </w:rPr>
            </w:pPr>
            <w:r>
              <w:rPr>
                <w:sz w:val="22"/>
                <w:szCs w:val="22"/>
              </w:rPr>
              <w:t>-56,4</w:t>
            </w:r>
          </w:p>
        </w:tc>
        <w:tc>
          <w:tcPr>
            <w:tcW w:w="964" w:type="dxa"/>
            <w:vAlign w:val="center"/>
          </w:tcPr>
          <w:p w:rsidR="00F06FF6" w:rsidRPr="00851CBE" w:rsidRDefault="00F06FF6" w:rsidP="00851CBE">
            <w:pPr>
              <w:jc w:val="center"/>
              <w:rPr>
                <w:sz w:val="22"/>
                <w:szCs w:val="22"/>
              </w:rPr>
            </w:pPr>
          </w:p>
        </w:tc>
        <w:tc>
          <w:tcPr>
            <w:tcW w:w="794" w:type="dxa"/>
            <w:vAlign w:val="center"/>
          </w:tcPr>
          <w:p w:rsidR="00F06FF6" w:rsidRPr="00851CBE" w:rsidRDefault="00F06FF6" w:rsidP="00851CBE">
            <w:pPr>
              <w:jc w:val="center"/>
              <w:rPr>
                <w:sz w:val="22"/>
                <w:szCs w:val="22"/>
              </w:rPr>
            </w:pPr>
          </w:p>
        </w:tc>
        <w:tc>
          <w:tcPr>
            <w:tcW w:w="794" w:type="dxa"/>
            <w:vAlign w:val="center"/>
          </w:tcPr>
          <w:p w:rsidR="00F06FF6" w:rsidRPr="00851CBE" w:rsidRDefault="00F06FF6" w:rsidP="00851CBE">
            <w:pPr>
              <w:jc w:val="center"/>
              <w:rPr>
                <w:sz w:val="22"/>
                <w:szCs w:val="22"/>
              </w:rPr>
            </w:pPr>
          </w:p>
        </w:tc>
        <w:tc>
          <w:tcPr>
            <w:tcW w:w="794" w:type="dxa"/>
            <w:vAlign w:val="center"/>
          </w:tcPr>
          <w:p w:rsidR="00F06FF6" w:rsidRPr="00851CBE" w:rsidRDefault="00F06FF6" w:rsidP="00851CBE">
            <w:pPr>
              <w:jc w:val="center"/>
              <w:rPr>
                <w:sz w:val="22"/>
                <w:szCs w:val="22"/>
              </w:rPr>
            </w:pPr>
          </w:p>
        </w:tc>
        <w:tc>
          <w:tcPr>
            <w:tcW w:w="1589" w:type="dxa"/>
            <w:vAlign w:val="center"/>
          </w:tcPr>
          <w:p w:rsidR="00F06FF6" w:rsidRPr="00851CBE" w:rsidRDefault="00F06FF6" w:rsidP="00AA4083">
            <w:pPr>
              <w:jc w:val="center"/>
              <w:rPr>
                <w:sz w:val="22"/>
                <w:szCs w:val="22"/>
              </w:rPr>
            </w:pPr>
          </w:p>
        </w:tc>
        <w:tc>
          <w:tcPr>
            <w:tcW w:w="1559" w:type="dxa"/>
            <w:vAlign w:val="center"/>
          </w:tcPr>
          <w:p w:rsidR="00F06FF6" w:rsidRPr="00851CBE" w:rsidRDefault="00F06FF6" w:rsidP="00851CBE">
            <w:pPr>
              <w:jc w:val="center"/>
              <w:rPr>
                <w:sz w:val="22"/>
                <w:szCs w:val="22"/>
              </w:rPr>
            </w:pPr>
          </w:p>
        </w:tc>
      </w:tr>
      <w:tr w:rsidR="00F06FF6" w:rsidRPr="0029403D" w:rsidTr="00F06FF6">
        <w:tc>
          <w:tcPr>
            <w:tcW w:w="1701" w:type="dxa"/>
          </w:tcPr>
          <w:p w:rsidR="00F06FF6" w:rsidRPr="0029403D" w:rsidRDefault="00F06FF6" w:rsidP="00BE7D9D">
            <w:pPr>
              <w:rPr>
                <w:b/>
                <w:sz w:val="22"/>
                <w:szCs w:val="22"/>
              </w:rPr>
            </w:pPr>
            <w:r w:rsidRPr="0029403D">
              <w:rPr>
                <w:b/>
                <w:sz w:val="22"/>
                <w:szCs w:val="22"/>
              </w:rPr>
              <w:t>Итого безво</w:t>
            </w:r>
            <w:r w:rsidRPr="0029403D">
              <w:rPr>
                <w:b/>
                <w:sz w:val="22"/>
                <w:szCs w:val="22"/>
              </w:rPr>
              <w:t>з</w:t>
            </w:r>
            <w:r w:rsidRPr="0029403D">
              <w:rPr>
                <w:b/>
                <w:sz w:val="22"/>
                <w:szCs w:val="22"/>
              </w:rPr>
              <w:t>мездных п</w:t>
            </w:r>
            <w:r w:rsidRPr="0029403D">
              <w:rPr>
                <w:b/>
                <w:sz w:val="22"/>
                <w:szCs w:val="22"/>
              </w:rPr>
              <w:t>о</w:t>
            </w:r>
            <w:r w:rsidRPr="0029403D">
              <w:rPr>
                <w:b/>
                <w:sz w:val="22"/>
                <w:szCs w:val="22"/>
              </w:rPr>
              <w:t>ступлений</w:t>
            </w:r>
          </w:p>
        </w:tc>
        <w:tc>
          <w:tcPr>
            <w:tcW w:w="850" w:type="dxa"/>
            <w:vAlign w:val="center"/>
          </w:tcPr>
          <w:p w:rsidR="00F06FF6" w:rsidRPr="00851CBE" w:rsidRDefault="00F06FF6" w:rsidP="00AA4083">
            <w:pPr>
              <w:jc w:val="center"/>
              <w:rPr>
                <w:b/>
                <w:sz w:val="22"/>
                <w:szCs w:val="22"/>
              </w:rPr>
            </w:pPr>
            <w:r w:rsidRPr="00851CBE">
              <w:rPr>
                <w:b/>
                <w:sz w:val="22"/>
                <w:szCs w:val="22"/>
              </w:rPr>
              <w:t>7341,7</w:t>
            </w:r>
          </w:p>
        </w:tc>
        <w:tc>
          <w:tcPr>
            <w:tcW w:w="850" w:type="dxa"/>
            <w:vAlign w:val="center"/>
          </w:tcPr>
          <w:p w:rsidR="00F06FF6" w:rsidRPr="00851CBE" w:rsidRDefault="00F06FF6" w:rsidP="00AA4083">
            <w:pPr>
              <w:jc w:val="center"/>
              <w:rPr>
                <w:b/>
                <w:sz w:val="22"/>
                <w:szCs w:val="22"/>
              </w:rPr>
            </w:pPr>
            <w:r>
              <w:rPr>
                <w:b/>
                <w:sz w:val="22"/>
                <w:szCs w:val="22"/>
              </w:rPr>
              <w:t>8118,8</w:t>
            </w:r>
          </w:p>
        </w:tc>
        <w:tc>
          <w:tcPr>
            <w:tcW w:w="964" w:type="dxa"/>
            <w:vAlign w:val="center"/>
          </w:tcPr>
          <w:p w:rsidR="00F06FF6" w:rsidRPr="00851CBE" w:rsidRDefault="00F06FF6" w:rsidP="00877B5F">
            <w:pPr>
              <w:jc w:val="center"/>
              <w:rPr>
                <w:b/>
                <w:sz w:val="22"/>
                <w:szCs w:val="22"/>
              </w:rPr>
            </w:pPr>
            <w:r>
              <w:rPr>
                <w:b/>
                <w:sz w:val="22"/>
                <w:szCs w:val="22"/>
              </w:rPr>
              <w:t>11152,6</w:t>
            </w:r>
          </w:p>
        </w:tc>
        <w:tc>
          <w:tcPr>
            <w:tcW w:w="794" w:type="dxa"/>
            <w:vAlign w:val="center"/>
          </w:tcPr>
          <w:p w:rsidR="00F06FF6" w:rsidRPr="00851CBE" w:rsidRDefault="00F06FF6" w:rsidP="00877B5F">
            <w:pPr>
              <w:jc w:val="center"/>
              <w:rPr>
                <w:b/>
                <w:sz w:val="22"/>
                <w:szCs w:val="22"/>
              </w:rPr>
            </w:pPr>
            <w:r w:rsidRPr="00851CBE">
              <w:rPr>
                <w:b/>
                <w:sz w:val="22"/>
                <w:szCs w:val="22"/>
              </w:rPr>
              <w:t>100%</w:t>
            </w:r>
          </w:p>
        </w:tc>
        <w:tc>
          <w:tcPr>
            <w:tcW w:w="794" w:type="dxa"/>
            <w:vAlign w:val="center"/>
          </w:tcPr>
          <w:p w:rsidR="00F06FF6" w:rsidRPr="00851CBE" w:rsidRDefault="00F06FF6" w:rsidP="00877B5F">
            <w:pPr>
              <w:jc w:val="center"/>
              <w:rPr>
                <w:b/>
                <w:sz w:val="22"/>
                <w:szCs w:val="22"/>
              </w:rPr>
            </w:pPr>
            <w:r w:rsidRPr="00851CBE">
              <w:rPr>
                <w:b/>
                <w:sz w:val="22"/>
                <w:szCs w:val="22"/>
              </w:rPr>
              <w:t>100%</w:t>
            </w:r>
          </w:p>
        </w:tc>
        <w:tc>
          <w:tcPr>
            <w:tcW w:w="794" w:type="dxa"/>
            <w:vAlign w:val="center"/>
          </w:tcPr>
          <w:p w:rsidR="00F06FF6" w:rsidRPr="00851CBE" w:rsidRDefault="00F06FF6" w:rsidP="00877B5F">
            <w:pPr>
              <w:jc w:val="center"/>
              <w:rPr>
                <w:b/>
                <w:sz w:val="22"/>
                <w:szCs w:val="22"/>
              </w:rPr>
            </w:pPr>
            <w:r w:rsidRPr="00851CBE">
              <w:rPr>
                <w:b/>
                <w:sz w:val="22"/>
                <w:szCs w:val="22"/>
              </w:rPr>
              <w:t>100%</w:t>
            </w:r>
          </w:p>
        </w:tc>
        <w:tc>
          <w:tcPr>
            <w:tcW w:w="1589" w:type="dxa"/>
            <w:vAlign w:val="center"/>
          </w:tcPr>
          <w:p w:rsidR="00F06FF6" w:rsidRPr="00851CBE" w:rsidRDefault="00F06FF6" w:rsidP="00AA4083">
            <w:pPr>
              <w:jc w:val="center"/>
              <w:rPr>
                <w:b/>
                <w:sz w:val="22"/>
                <w:szCs w:val="22"/>
              </w:rPr>
            </w:pPr>
            <w:r>
              <w:rPr>
                <w:b/>
                <w:sz w:val="22"/>
                <w:szCs w:val="22"/>
              </w:rPr>
              <w:t>777,1 / 10,6%</w:t>
            </w:r>
          </w:p>
        </w:tc>
        <w:tc>
          <w:tcPr>
            <w:tcW w:w="1559" w:type="dxa"/>
            <w:vAlign w:val="center"/>
          </w:tcPr>
          <w:p w:rsidR="00F06FF6" w:rsidRPr="00851CBE" w:rsidRDefault="00222BC0" w:rsidP="00222BC0">
            <w:pPr>
              <w:jc w:val="center"/>
              <w:rPr>
                <w:b/>
                <w:sz w:val="22"/>
                <w:szCs w:val="22"/>
              </w:rPr>
            </w:pPr>
            <w:r>
              <w:rPr>
                <w:b/>
                <w:sz w:val="22"/>
                <w:szCs w:val="22"/>
              </w:rPr>
              <w:t>3033,8</w:t>
            </w:r>
            <w:r w:rsidR="00F06FF6">
              <w:rPr>
                <w:b/>
                <w:sz w:val="22"/>
                <w:szCs w:val="22"/>
              </w:rPr>
              <w:t xml:space="preserve"> / </w:t>
            </w:r>
            <w:r>
              <w:rPr>
                <w:b/>
                <w:sz w:val="22"/>
                <w:szCs w:val="22"/>
              </w:rPr>
              <w:t>37,4</w:t>
            </w:r>
            <w:r w:rsidR="00F06FF6">
              <w:rPr>
                <w:b/>
                <w:sz w:val="22"/>
                <w:szCs w:val="22"/>
              </w:rPr>
              <w:t>%</w:t>
            </w:r>
          </w:p>
        </w:tc>
      </w:tr>
    </w:tbl>
    <w:p w:rsidR="005F6890" w:rsidRPr="0029403D" w:rsidRDefault="006546A7" w:rsidP="007A3BFC">
      <w:pPr>
        <w:pStyle w:val="1"/>
        <w:spacing w:before="240"/>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023CD6" w:rsidRDefault="00023CD6" w:rsidP="00023CD6">
      <w:pPr>
        <w:autoSpaceDE w:val="0"/>
        <w:autoSpaceDN w:val="0"/>
        <w:adjustRightInd w:val="0"/>
        <w:ind w:firstLine="540"/>
        <w:jc w:val="both"/>
        <w:outlineLvl w:val="0"/>
      </w:pPr>
      <w:r w:rsidRPr="0029403D">
        <w:t xml:space="preserve">Местный бюджет на </w:t>
      </w:r>
      <w:r>
        <w:t>2015</w:t>
      </w:r>
      <w:r w:rsidRPr="0029403D">
        <w:t xml:space="preserve"> год по </w:t>
      </w:r>
      <w:r>
        <w:t>рас</w:t>
      </w:r>
      <w:r w:rsidRPr="0029403D">
        <w:t xml:space="preserve">ходам в объёме </w:t>
      </w:r>
      <w:r>
        <w:t>7407,9</w:t>
      </w:r>
      <w:r w:rsidRPr="0029403D">
        <w:t xml:space="preserve"> тыс. руб. утверждён реш</w:t>
      </w:r>
      <w:r w:rsidRPr="0029403D">
        <w:t>е</w:t>
      </w:r>
      <w:r w:rsidRPr="0029403D">
        <w:t xml:space="preserve">нием </w:t>
      </w:r>
      <w:r>
        <w:t>36</w:t>
      </w:r>
      <w:r w:rsidRPr="0029403D">
        <w:t xml:space="preserve"> сессии 4 созыва Совета депутатов Верх-Каргатского сельсовета Каргатского района Новосибирской области от </w:t>
      </w:r>
      <w:r>
        <w:t>23</w:t>
      </w:r>
      <w:r w:rsidRPr="0029403D">
        <w:t>.1</w:t>
      </w:r>
      <w:r>
        <w:t>2</w:t>
      </w:r>
      <w:r w:rsidRPr="0029403D">
        <w:t>.</w:t>
      </w:r>
      <w:r>
        <w:t>2014</w:t>
      </w:r>
      <w:r w:rsidRPr="0029403D">
        <w:t xml:space="preserve"> № </w:t>
      </w:r>
      <w:r>
        <w:t>131</w:t>
      </w:r>
      <w:r w:rsidRPr="0029403D">
        <w:t xml:space="preserve">. </w:t>
      </w:r>
    </w:p>
    <w:p w:rsidR="00023CD6" w:rsidRDefault="00023CD6" w:rsidP="0047168F">
      <w:pPr>
        <w:autoSpaceDE w:val="0"/>
        <w:autoSpaceDN w:val="0"/>
        <w:adjustRightInd w:val="0"/>
        <w:spacing w:before="60"/>
        <w:ind w:firstLine="540"/>
        <w:jc w:val="both"/>
        <w:outlineLvl w:val="0"/>
      </w:pPr>
      <w:r w:rsidRPr="00816F79">
        <w:t>Решени</w:t>
      </w:r>
      <w:r>
        <w:t xml:space="preserve">ями от 16.04.2015 № 139, от 09.10.2015 № 10, от 25.12.2015 № 20, </w:t>
      </w:r>
      <w:r w:rsidRPr="00816F79">
        <w:t xml:space="preserve">были внесены изменения в плановые назначения по </w:t>
      </w:r>
      <w:r>
        <w:t>рас</w:t>
      </w:r>
      <w:r w:rsidRPr="00816F79">
        <w:t xml:space="preserve">ходам. </w:t>
      </w:r>
      <w:r w:rsidRPr="00AF4B49">
        <w:t xml:space="preserve">По итогам </w:t>
      </w:r>
      <w:r>
        <w:t xml:space="preserve">всех </w:t>
      </w:r>
      <w:r w:rsidRPr="00AF4B49">
        <w:t xml:space="preserve">внесённых изменений </w:t>
      </w:r>
      <w:r>
        <w:t>утверждённый</w:t>
      </w:r>
      <w:r w:rsidRPr="00AF4B49">
        <w:t xml:space="preserve"> объ</w:t>
      </w:r>
      <w:r>
        <w:t>ём рас</w:t>
      </w:r>
      <w:r w:rsidRPr="00AF4B49">
        <w:t>ходов</w:t>
      </w:r>
      <w:r>
        <w:t xml:space="preserve"> составляет 11916,0 тыс. руб.</w:t>
      </w:r>
    </w:p>
    <w:p w:rsidR="00023CD6" w:rsidRPr="007A004B" w:rsidRDefault="00023CD6" w:rsidP="0047168F">
      <w:pPr>
        <w:autoSpaceDE w:val="0"/>
        <w:autoSpaceDN w:val="0"/>
        <w:adjustRightInd w:val="0"/>
        <w:spacing w:before="60"/>
        <w:ind w:firstLine="540"/>
        <w:jc w:val="both"/>
        <w:outlineLvl w:val="0"/>
        <w:rPr>
          <w:b/>
          <w:i/>
          <w:spacing w:val="-2"/>
        </w:rPr>
      </w:pPr>
      <w:r w:rsidRPr="007A004B">
        <w:rPr>
          <w:spacing w:val="-2"/>
        </w:rPr>
        <w:t>В отчёте об исполнении местного бюджета за 2015</w:t>
      </w:r>
      <w:r>
        <w:rPr>
          <w:spacing w:val="-2"/>
        </w:rPr>
        <w:t xml:space="preserve"> год плановый показатель по рас</w:t>
      </w:r>
      <w:r w:rsidRPr="007A004B">
        <w:rPr>
          <w:spacing w:val="-2"/>
        </w:rPr>
        <w:t xml:space="preserve">ходам составляет </w:t>
      </w:r>
      <w:r>
        <w:rPr>
          <w:spacing w:val="-2"/>
        </w:rPr>
        <w:t>12076,3</w:t>
      </w:r>
      <w:r w:rsidRPr="007A004B">
        <w:rPr>
          <w:spacing w:val="-2"/>
        </w:rPr>
        <w:t xml:space="preserve"> тыс. руб. Разница между утверждёнными бюджетными назначениями и данными годового отчёта составляет 160,3 тыс. руб. </w:t>
      </w:r>
      <w:r w:rsidRPr="007A004B">
        <w:rPr>
          <w:b/>
          <w:i/>
          <w:spacing w:val="-2"/>
        </w:rPr>
        <w:t>Тем самым нарушена статья 32 БК РФ</w:t>
      </w:r>
      <w:r>
        <w:rPr>
          <w:b/>
          <w:i/>
          <w:spacing w:val="-2"/>
        </w:rPr>
        <w:t>.</w:t>
      </w:r>
    </w:p>
    <w:p w:rsidR="00DB1053" w:rsidRPr="0029403D" w:rsidRDefault="00DB1053" w:rsidP="0047168F">
      <w:pPr>
        <w:spacing w:before="60"/>
        <w:ind w:firstLine="567"/>
        <w:jc w:val="both"/>
      </w:pPr>
      <w:r w:rsidRPr="0029403D">
        <w:t xml:space="preserve">Исполнение местного бюджета по расходам за </w:t>
      </w:r>
      <w:r w:rsidR="001043B8">
        <w:t>2015</w:t>
      </w:r>
      <w:r w:rsidRPr="0029403D">
        <w:t xml:space="preserve"> год составило </w:t>
      </w:r>
      <w:r w:rsidR="00023CD6">
        <w:t>11879,1</w:t>
      </w:r>
      <w:r w:rsidRPr="0029403D">
        <w:t xml:space="preserve"> тыс. </w:t>
      </w:r>
      <w:r w:rsidR="00CA485C" w:rsidRPr="0029403D">
        <w:t>руб.</w:t>
      </w:r>
      <w:r w:rsidRPr="0029403D">
        <w:t xml:space="preserve"> или </w:t>
      </w:r>
      <w:r w:rsidR="00023CD6">
        <w:t>98,4</w:t>
      </w:r>
      <w:r w:rsidRPr="0029403D">
        <w:t>% к плану</w:t>
      </w:r>
      <w:r w:rsidR="00EA02E5">
        <w:t xml:space="preserve"> (неисполнение – </w:t>
      </w:r>
      <w:r w:rsidR="00023CD6">
        <w:t>197,2</w:t>
      </w:r>
      <w:r w:rsidR="00EA02E5">
        <w:t xml:space="preserve"> тыс. руб.)</w:t>
      </w:r>
      <w:r w:rsidRPr="0029403D">
        <w:t>.</w:t>
      </w:r>
    </w:p>
    <w:p w:rsidR="0047168F" w:rsidRDefault="0047168F">
      <w:r>
        <w:br w:type="page"/>
      </w:r>
    </w:p>
    <w:p w:rsidR="00023CD6" w:rsidRDefault="00C62F03" w:rsidP="0047168F">
      <w:pPr>
        <w:spacing w:before="60"/>
        <w:ind w:firstLine="567"/>
        <w:jc w:val="both"/>
        <w:rPr>
          <w:sz w:val="22"/>
          <w:szCs w:val="22"/>
        </w:rPr>
      </w:pPr>
      <w:r w:rsidRPr="0029403D">
        <w:lastRenderedPageBreak/>
        <w:t xml:space="preserve">Информация о структуре и динамике расходов </w:t>
      </w:r>
      <w:r w:rsidR="00882C08" w:rsidRPr="0029403D">
        <w:t>местного бюджета</w:t>
      </w:r>
      <w:r w:rsidRPr="0029403D">
        <w:t xml:space="preserve"> в </w:t>
      </w:r>
      <w:r w:rsidR="001043B8">
        <w:t>2013</w:t>
      </w:r>
      <w:r w:rsidR="00D912C8" w:rsidRPr="0029403D">
        <w:t>-</w:t>
      </w:r>
      <w:r w:rsidR="001043B8">
        <w:t>2015</w:t>
      </w:r>
      <w:r w:rsidR="00D912C8" w:rsidRPr="0029403D">
        <w:t xml:space="preserve"> годах</w:t>
      </w:r>
      <w:r w:rsidRPr="0029403D">
        <w:t xml:space="preserve"> представлена в </w:t>
      </w:r>
      <w:r w:rsidR="00D912C8" w:rsidRPr="0029403D">
        <w:t xml:space="preserve">таблице </w:t>
      </w:r>
      <w:r w:rsidR="00EA02E5">
        <w:t>4</w:t>
      </w:r>
      <w:r w:rsidRPr="0029403D">
        <w:t>.</w:t>
      </w:r>
    </w:p>
    <w:p w:rsidR="00D912C8" w:rsidRPr="0029403D" w:rsidRDefault="00D912C8" w:rsidP="0047168F">
      <w:pPr>
        <w:spacing w:before="120" w:after="120"/>
        <w:jc w:val="center"/>
        <w:rPr>
          <w:sz w:val="22"/>
          <w:szCs w:val="22"/>
        </w:rPr>
      </w:pPr>
      <w:r w:rsidRPr="0029403D">
        <w:rPr>
          <w:sz w:val="22"/>
          <w:szCs w:val="22"/>
        </w:rPr>
        <w:t xml:space="preserve">Таблица </w:t>
      </w:r>
      <w:r w:rsidR="00EA02E5">
        <w:rPr>
          <w:sz w:val="22"/>
          <w:szCs w:val="22"/>
        </w:rPr>
        <w:t>4</w:t>
      </w:r>
      <w:r w:rsidRPr="0029403D">
        <w:rPr>
          <w:sz w:val="22"/>
          <w:szCs w:val="22"/>
        </w:rPr>
        <w:t>. Анализ структуры расходов местного бюджета, тыс. руб.</w:t>
      </w:r>
    </w:p>
    <w:tbl>
      <w:tblPr>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794"/>
        <w:gridCol w:w="794"/>
        <w:gridCol w:w="907"/>
        <w:gridCol w:w="794"/>
        <w:gridCol w:w="794"/>
        <w:gridCol w:w="794"/>
        <w:gridCol w:w="1247"/>
        <w:gridCol w:w="1191"/>
      </w:tblGrid>
      <w:tr w:rsidR="004B6B0C" w:rsidRPr="0029403D" w:rsidTr="008C19E7">
        <w:trPr>
          <w:trHeight w:val="250"/>
        </w:trPr>
        <w:tc>
          <w:tcPr>
            <w:tcW w:w="2438" w:type="dxa"/>
            <w:vMerge w:val="restart"/>
          </w:tcPr>
          <w:p w:rsidR="004B6B0C" w:rsidRPr="0029403D" w:rsidRDefault="004B6B0C" w:rsidP="0053416C">
            <w:pPr>
              <w:spacing w:before="120"/>
              <w:jc w:val="center"/>
              <w:rPr>
                <w:i/>
                <w:sz w:val="20"/>
                <w:szCs w:val="20"/>
              </w:rPr>
            </w:pPr>
            <w:r w:rsidRPr="0029403D">
              <w:rPr>
                <w:i/>
                <w:sz w:val="20"/>
                <w:szCs w:val="20"/>
              </w:rPr>
              <w:t>Наименование статей расходов</w:t>
            </w:r>
          </w:p>
        </w:tc>
        <w:tc>
          <w:tcPr>
            <w:tcW w:w="2494" w:type="dxa"/>
            <w:gridSpan w:val="3"/>
            <w:vAlign w:val="center"/>
          </w:tcPr>
          <w:p w:rsidR="004B6B0C" w:rsidRPr="0029403D" w:rsidRDefault="004B6B0C" w:rsidP="00BE7D9D">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53416C">
            <w:pPr>
              <w:spacing w:before="120"/>
              <w:jc w:val="center"/>
              <w:rPr>
                <w:i/>
                <w:sz w:val="20"/>
                <w:szCs w:val="20"/>
              </w:rPr>
            </w:pPr>
            <w:r w:rsidRPr="0029403D">
              <w:rPr>
                <w:i/>
                <w:sz w:val="20"/>
                <w:szCs w:val="20"/>
              </w:rPr>
              <w:t>Доля в общих расходах</w:t>
            </w:r>
          </w:p>
        </w:tc>
        <w:tc>
          <w:tcPr>
            <w:tcW w:w="2438" w:type="dxa"/>
            <w:gridSpan w:val="2"/>
            <w:vAlign w:val="center"/>
          </w:tcPr>
          <w:p w:rsidR="004B6B0C" w:rsidRPr="0029403D" w:rsidRDefault="004B6B0C" w:rsidP="0053416C">
            <w:pPr>
              <w:jc w:val="center"/>
              <w:rPr>
                <w:i/>
                <w:sz w:val="20"/>
                <w:szCs w:val="20"/>
              </w:rPr>
            </w:pPr>
            <w:r w:rsidRPr="0029403D">
              <w:rPr>
                <w:i/>
                <w:sz w:val="20"/>
                <w:szCs w:val="20"/>
              </w:rPr>
              <w:t>Абсолютный прирост (тыс. руб./проценты)</w:t>
            </w:r>
          </w:p>
        </w:tc>
      </w:tr>
      <w:tr w:rsidR="004B6B0C" w:rsidRPr="0029403D" w:rsidTr="008C19E7">
        <w:trPr>
          <w:trHeight w:val="250"/>
        </w:trPr>
        <w:tc>
          <w:tcPr>
            <w:tcW w:w="2438" w:type="dxa"/>
            <w:vMerge/>
          </w:tcPr>
          <w:p w:rsidR="004B6B0C" w:rsidRPr="0029403D" w:rsidRDefault="004B6B0C" w:rsidP="00BE7D9D">
            <w:pPr>
              <w:jc w:val="center"/>
              <w:rPr>
                <w:i/>
                <w:sz w:val="20"/>
                <w:szCs w:val="20"/>
              </w:rPr>
            </w:pPr>
          </w:p>
        </w:tc>
        <w:tc>
          <w:tcPr>
            <w:tcW w:w="794" w:type="dxa"/>
          </w:tcPr>
          <w:p w:rsidR="004B6B0C" w:rsidRPr="0029403D" w:rsidRDefault="001043B8" w:rsidP="00494098">
            <w:pPr>
              <w:spacing w:before="20"/>
              <w:jc w:val="center"/>
              <w:rPr>
                <w:i/>
                <w:sz w:val="20"/>
                <w:szCs w:val="20"/>
              </w:rPr>
            </w:pPr>
            <w:r>
              <w:rPr>
                <w:i/>
                <w:sz w:val="20"/>
                <w:szCs w:val="20"/>
              </w:rPr>
              <w:t>2013</w:t>
            </w:r>
          </w:p>
        </w:tc>
        <w:tc>
          <w:tcPr>
            <w:tcW w:w="794" w:type="dxa"/>
          </w:tcPr>
          <w:p w:rsidR="004B6B0C" w:rsidRPr="0029403D" w:rsidRDefault="001043B8" w:rsidP="00494098">
            <w:pPr>
              <w:spacing w:before="20"/>
              <w:jc w:val="center"/>
              <w:rPr>
                <w:i/>
                <w:sz w:val="20"/>
                <w:szCs w:val="20"/>
              </w:rPr>
            </w:pPr>
            <w:r>
              <w:rPr>
                <w:i/>
                <w:sz w:val="20"/>
                <w:szCs w:val="20"/>
              </w:rPr>
              <w:t>2014</w:t>
            </w:r>
          </w:p>
        </w:tc>
        <w:tc>
          <w:tcPr>
            <w:tcW w:w="907" w:type="dxa"/>
          </w:tcPr>
          <w:p w:rsidR="004B6B0C" w:rsidRPr="0029403D" w:rsidRDefault="001043B8" w:rsidP="00494098">
            <w:pPr>
              <w:spacing w:before="20"/>
              <w:jc w:val="center"/>
              <w:rPr>
                <w:i/>
                <w:sz w:val="20"/>
                <w:szCs w:val="20"/>
              </w:rPr>
            </w:pPr>
            <w:r>
              <w:rPr>
                <w:i/>
                <w:sz w:val="20"/>
                <w:szCs w:val="20"/>
              </w:rPr>
              <w:t>2015</w:t>
            </w:r>
          </w:p>
        </w:tc>
        <w:tc>
          <w:tcPr>
            <w:tcW w:w="794" w:type="dxa"/>
          </w:tcPr>
          <w:p w:rsidR="004B6B0C" w:rsidRPr="0029403D" w:rsidRDefault="001043B8" w:rsidP="00BE7D9D">
            <w:pPr>
              <w:spacing w:before="20"/>
              <w:jc w:val="center"/>
              <w:rPr>
                <w:i/>
                <w:sz w:val="20"/>
                <w:szCs w:val="20"/>
              </w:rPr>
            </w:pPr>
            <w:r>
              <w:rPr>
                <w:i/>
                <w:sz w:val="20"/>
                <w:szCs w:val="20"/>
              </w:rPr>
              <w:t>2013</w:t>
            </w:r>
          </w:p>
        </w:tc>
        <w:tc>
          <w:tcPr>
            <w:tcW w:w="794" w:type="dxa"/>
          </w:tcPr>
          <w:p w:rsidR="004B6B0C" w:rsidRPr="0029403D" w:rsidRDefault="001043B8" w:rsidP="00BE7D9D">
            <w:pPr>
              <w:spacing w:before="20"/>
              <w:jc w:val="center"/>
              <w:rPr>
                <w:i/>
                <w:sz w:val="20"/>
                <w:szCs w:val="20"/>
              </w:rPr>
            </w:pPr>
            <w:r>
              <w:rPr>
                <w:i/>
                <w:sz w:val="20"/>
                <w:szCs w:val="20"/>
              </w:rPr>
              <w:t>2014</w:t>
            </w:r>
          </w:p>
        </w:tc>
        <w:tc>
          <w:tcPr>
            <w:tcW w:w="794" w:type="dxa"/>
          </w:tcPr>
          <w:p w:rsidR="004B6B0C" w:rsidRPr="0029403D" w:rsidRDefault="001043B8" w:rsidP="00BE7D9D">
            <w:pPr>
              <w:spacing w:before="20"/>
              <w:jc w:val="center"/>
              <w:rPr>
                <w:i/>
                <w:sz w:val="20"/>
                <w:szCs w:val="20"/>
              </w:rPr>
            </w:pPr>
            <w:r>
              <w:rPr>
                <w:i/>
                <w:sz w:val="20"/>
                <w:szCs w:val="20"/>
              </w:rPr>
              <w:t>2015</w:t>
            </w:r>
          </w:p>
        </w:tc>
        <w:tc>
          <w:tcPr>
            <w:tcW w:w="1247" w:type="dxa"/>
          </w:tcPr>
          <w:p w:rsidR="004B6B0C" w:rsidRPr="0053416C" w:rsidRDefault="001043B8" w:rsidP="00BE7D9D">
            <w:pPr>
              <w:spacing w:before="20"/>
              <w:jc w:val="center"/>
              <w:rPr>
                <w:i/>
                <w:spacing w:val="-2"/>
                <w:sz w:val="20"/>
                <w:szCs w:val="20"/>
              </w:rPr>
            </w:pPr>
            <w:r>
              <w:rPr>
                <w:i/>
                <w:spacing w:val="-2"/>
                <w:sz w:val="20"/>
                <w:szCs w:val="20"/>
              </w:rPr>
              <w:t>2014</w:t>
            </w:r>
            <w:r w:rsidR="0053416C" w:rsidRPr="0053416C">
              <w:rPr>
                <w:i/>
                <w:spacing w:val="-2"/>
                <w:sz w:val="20"/>
                <w:szCs w:val="20"/>
              </w:rPr>
              <w:t xml:space="preserve"> к </w:t>
            </w:r>
            <w:r>
              <w:rPr>
                <w:i/>
                <w:spacing w:val="-2"/>
                <w:sz w:val="20"/>
                <w:szCs w:val="20"/>
              </w:rPr>
              <w:t>2013</w:t>
            </w:r>
          </w:p>
        </w:tc>
        <w:tc>
          <w:tcPr>
            <w:tcW w:w="1191" w:type="dxa"/>
          </w:tcPr>
          <w:p w:rsidR="004B6B0C" w:rsidRPr="0053416C" w:rsidRDefault="001043B8" w:rsidP="00BE7D9D">
            <w:pPr>
              <w:spacing w:before="20"/>
              <w:jc w:val="center"/>
              <w:rPr>
                <w:i/>
                <w:spacing w:val="-2"/>
                <w:sz w:val="20"/>
                <w:szCs w:val="20"/>
              </w:rPr>
            </w:pPr>
            <w:r>
              <w:rPr>
                <w:i/>
                <w:spacing w:val="-2"/>
                <w:sz w:val="20"/>
                <w:szCs w:val="20"/>
              </w:rPr>
              <w:t>2015</w:t>
            </w:r>
            <w:r w:rsidR="0053416C" w:rsidRPr="0053416C">
              <w:rPr>
                <w:i/>
                <w:spacing w:val="-2"/>
                <w:sz w:val="20"/>
                <w:szCs w:val="20"/>
              </w:rPr>
              <w:t xml:space="preserve"> к </w:t>
            </w:r>
            <w:r>
              <w:rPr>
                <w:i/>
                <w:spacing w:val="-2"/>
                <w:sz w:val="20"/>
                <w:szCs w:val="20"/>
              </w:rPr>
              <w:t>2014</w:t>
            </w:r>
          </w:p>
        </w:tc>
      </w:tr>
      <w:tr w:rsidR="00023CD6" w:rsidRPr="0029403D" w:rsidTr="008C19E7">
        <w:tc>
          <w:tcPr>
            <w:tcW w:w="2438" w:type="dxa"/>
            <w:vAlign w:val="center"/>
          </w:tcPr>
          <w:p w:rsidR="00023CD6" w:rsidRPr="008C19E7" w:rsidRDefault="00023CD6" w:rsidP="00BE7D9D">
            <w:pPr>
              <w:rPr>
                <w:sz w:val="22"/>
                <w:szCs w:val="22"/>
              </w:rPr>
            </w:pPr>
            <w:r w:rsidRPr="008C19E7">
              <w:rPr>
                <w:sz w:val="22"/>
                <w:szCs w:val="22"/>
              </w:rPr>
              <w:t>Общегосударственные вопросы</w:t>
            </w:r>
          </w:p>
        </w:tc>
        <w:tc>
          <w:tcPr>
            <w:tcW w:w="794" w:type="dxa"/>
            <w:vAlign w:val="center"/>
          </w:tcPr>
          <w:p w:rsidR="00023CD6" w:rsidRPr="008C19E7" w:rsidRDefault="00023CD6" w:rsidP="00AA4083">
            <w:pPr>
              <w:jc w:val="center"/>
              <w:rPr>
                <w:sz w:val="21"/>
                <w:szCs w:val="21"/>
              </w:rPr>
            </w:pPr>
            <w:r w:rsidRPr="008C19E7">
              <w:rPr>
                <w:sz w:val="21"/>
                <w:szCs w:val="21"/>
              </w:rPr>
              <w:t>1579,5</w:t>
            </w:r>
          </w:p>
        </w:tc>
        <w:tc>
          <w:tcPr>
            <w:tcW w:w="794" w:type="dxa"/>
            <w:vAlign w:val="center"/>
          </w:tcPr>
          <w:p w:rsidR="00023CD6" w:rsidRPr="008C19E7" w:rsidRDefault="00023CD6" w:rsidP="00AA4083">
            <w:pPr>
              <w:jc w:val="center"/>
              <w:rPr>
                <w:sz w:val="21"/>
                <w:szCs w:val="21"/>
              </w:rPr>
            </w:pPr>
            <w:r w:rsidRPr="008C19E7">
              <w:rPr>
                <w:sz w:val="21"/>
                <w:szCs w:val="21"/>
              </w:rPr>
              <w:t>1607,9</w:t>
            </w:r>
          </w:p>
        </w:tc>
        <w:tc>
          <w:tcPr>
            <w:tcW w:w="907" w:type="dxa"/>
            <w:vAlign w:val="center"/>
          </w:tcPr>
          <w:p w:rsidR="00023CD6" w:rsidRPr="008C19E7" w:rsidRDefault="008C19E7" w:rsidP="00381832">
            <w:pPr>
              <w:jc w:val="center"/>
              <w:rPr>
                <w:sz w:val="21"/>
                <w:szCs w:val="21"/>
              </w:rPr>
            </w:pPr>
            <w:r w:rsidRPr="008C19E7">
              <w:rPr>
                <w:sz w:val="21"/>
                <w:szCs w:val="21"/>
              </w:rPr>
              <w:t>1994,5</w:t>
            </w:r>
          </w:p>
        </w:tc>
        <w:tc>
          <w:tcPr>
            <w:tcW w:w="794" w:type="dxa"/>
            <w:vAlign w:val="center"/>
          </w:tcPr>
          <w:p w:rsidR="00023CD6" w:rsidRPr="008C19E7" w:rsidRDefault="00023CD6" w:rsidP="00AA4083">
            <w:pPr>
              <w:jc w:val="center"/>
              <w:rPr>
                <w:sz w:val="21"/>
                <w:szCs w:val="21"/>
              </w:rPr>
            </w:pPr>
            <w:r w:rsidRPr="008C19E7">
              <w:rPr>
                <w:sz w:val="21"/>
                <w:szCs w:val="21"/>
              </w:rPr>
              <w:t>20,2%</w:t>
            </w:r>
          </w:p>
        </w:tc>
        <w:tc>
          <w:tcPr>
            <w:tcW w:w="794" w:type="dxa"/>
            <w:vAlign w:val="center"/>
          </w:tcPr>
          <w:p w:rsidR="00023CD6" w:rsidRPr="008C19E7" w:rsidRDefault="00023CD6" w:rsidP="00AA4083">
            <w:pPr>
              <w:jc w:val="center"/>
              <w:rPr>
                <w:sz w:val="21"/>
                <w:szCs w:val="21"/>
              </w:rPr>
            </w:pPr>
            <w:r w:rsidRPr="008C19E7">
              <w:rPr>
                <w:sz w:val="21"/>
                <w:szCs w:val="21"/>
              </w:rPr>
              <w:t>19,2%</w:t>
            </w:r>
          </w:p>
        </w:tc>
        <w:tc>
          <w:tcPr>
            <w:tcW w:w="794" w:type="dxa"/>
            <w:vAlign w:val="center"/>
          </w:tcPr>
          <w:p w:rsidR="00023CD6" w:rsidRPr="008C19E7" w:rsidRDefault="008C19E7" w:rsidP="007A4162">
            <w:pPr>
              <w:jc w:val="center"/>
              <w:rPr>
                <w:sz w:val="21"/>
                <w:szCs w:val="21"/>
              </w:rPr>
            </w:pPr>
            <w:r>
              <w:rPr>
                <w:sz w:val="21"/>
                <w:szCs w:val="21"/>
              </w:rPr>
              <w:t>16,8%</w:t>
            </w:r>
          </w:p>
        </w:tc>
        <w:tc>
          <w:tcPr>
            <w:tcW w:w="1247" w:type="dxa"/>
            <w:vAlign w:val="center"/>
          </w:tcPr>
          <w:p w:rsidR="00023CD6" w:rsidRPr="008C19E7" w:rsidRDefault="00023CD6" w:rsidP="00AA4083">
            <w:pPr>
              <w:jc w:val="center"/>
              <w:rPr>
                <w:sz w:val="21"/>
                <w:szCs w:val="21"/>
              </w:rPr>
            </w:pPr>
            <w:r w:rsidRPr="008C19E7">
              <w:rPr>
                <w:sz w:val="21"/>
                <w:szCs w:val="21"/>
              </w:rPr>
              <w:t>28,4 / 1,8%</w:t>
            </w:r>
          </w:p>
        </w:tc>
        <w:tc>
          <w:tcPr>
            <w:tcW w:w="1191" w:type="dxa"/>
            <w:vAlign w:val="center"/>
          </w:tcPr>
          <w:p w:rsidR="00023CD6" w:rsidRPr="008C19E7" w:rsidRDefault="00023CD6" w:rsidP="00BE7D9D">
            <w:pPr>
              <w:jc w:val="center"/>
              <w:rPr>
                <w:sz w:val="21"/>
                <w:szCs w:val="21"/>
              </w:rPr>
            </w:pPr>
            <w:r w:rsidRPr="008C19E7">
              <w:rPr>
                <w:sz w:val="21"/>
                <w:szCs w:val="21"/>
              </w:rPr>
              <w:t>386,6 / 24,0%</w:t>
            </w:r>
          </w:p>
        </w:tc>
      </w:tr>
      <w:tr w:rsidR="00023CD6" w:rsidRPr="0029403D" w:rsidTr="008C19E7">
        <w:tc>
          <w:tcPr>
            <w:tcW w:w="2438" w:type="dxa"/>
          </w:tcPr>
          <w:p w:rsidR="00023CD6" w:rsidRPr="008C19E7" w:rsidRDefault="00023CD6" w:rsidP="00BE7D9D">
            <w:pPr>
              <w:rPr>
                <w:sz w:val="22"/>
                <w:szCs w:val="22"/>
              </w:rPr>
            </w:pPr>
            <w:r w:rsidRPr="008C19E7">
              <w:rPr>
                <w:sz w:val="22"/>
                <w:szCs w:val="22"/>
              </w:rPr>
              <w:t>Национальная оборона</w:t>
            </w:r>
          </w:p>
        </w:tc>
        <w:tc>
          <w:tcPr>
            <w:tcW w:w="794" w:type="dxa"/>
            <w:vAlign w:val="center"/>
          </w:tcPr>
          <w:p w:rsidR="00023CD6" w:rsidRPr="008C19E7" w:rsidRDefault="00023CD6" w:rsidP="00AA4083">
            <w:pPr>
              <w:jc w:val="center"/>
              <w:rPr>
                <w:sz w:val="21"/>
                <w:szCs w:val="21"/>
              </w:rPr>
            </w:pPr>
            <w:r w:rsidRPr="008C19E7">
              <w:rPr>
                <w:sz w:val="21"/>
                <w:szCs w:val="21"/>
              </w:rPr>
              <w:t>66,0</w:t>
            </w:r>
          </w:p>
        </w:tc>
        <w:tc>
          <w:tcPr>
            <w:tcW w:w="794" w:type="dxa"/>
            <w:vAlign w:val="center"/>
          </w:tcPr>
          <w:p w:rsidR="00023CD6" w:rsidRPr="008C19E7" w:rsidRDefault="00023CD6" w:rsidP="00AA4083">
            <w:pPr>
              <w:jc w:val="center"/>
              <w:rPr>
                <w:sz w:val="21"/>
                <w:szCs w:val="21"/>
              </w:rPr>
            </w:pPr>
            <w:r w:rsidRPr="008C19E7">
              <w:rPr>
                <w:sz w:val="21"/>
                <w:szCs w:val="21"/>
              </w:rPr>
              <w:t>72,7</w:t>
            </w:r>
          </w:p>
        </w:tc>
        <w:tc>
          <w:tcPr>
            <w:tcW w:w="907" w:type="dxa"/>
            <w:vAlign w:val="center"/>
          </w:tcPr>
          <w:p w:rsidR="00023CD6" w:rsidRPr="008C19E7" w:rsidRDefault="008C19E7" w:rsidP="00BE7D9D">
            <w:pPr>
              <w:jc w:val="center"/>
              <w:rPr>
                <w:sz w:val="21"/>
                <w:szCs w:val="21"/>
              </w:rPr>
            </w:pPr>
            <w:r w:rsidRPr="008C19E7">
              <w:rPr>
                <w:sz w:val="21"/>
                <w:szCs w:val="21"/>
              </w:rPr>
              <w:t>77,4</w:t>
            </w:r>
          </w:p>
        </w:tc>
        <w:tc>
          <w:tcPr>
            <w:tcW w:w="794" w:type="dxa"/>
            <w:vAlign w:val="center"/>
          </w:tcPr>
          <w:p w:rsidR="00023CD6" w:rsidRPr="008C19E7" w:rsidRDefault="00023CD6" w:rsidP="00AA4083">
            <w:pPr>
              <w:jc w:val="center"/>
              <w:rPr>
                <w:sz w:val="21"/>
                <w:szCs w:val="21"/>
              </w:rPr>
            </w:pPr>
            <w:r w:rsidRPr="008C19E7">
              <w:rPr>
                <w:sz w:val="21"/>
                <w:szCs w:val="21"/>
              </w:rPr>
              <w:t>0,8%</w:t>
            </w:r>
          </w:p>
        </w:tc>
        <w:tc>
          <w:tcPr>
            <w:tcW w:w="794" w:type="dxa"/>
            <w:vAlign w:val="center"/>
          </w:tcPr>
          <w:p w:rsidR="00023CD6" w:rsidRPr="008C19E7" w:rsidRDefault="00023CD6" w:rsidP="00AA4083">
            <w:pPr>
              <w:jc w:val="center"/>
              <w:rPr>
                <w:sz w:val="21"/>
                <w:szCs w:val="21"/>
              </w:rPr>
            </w:pPr>
            <w:r w:rsidRPr="008C19E7">
              <w:rPr>
                <w:sz w:val="21"/>
                <w:szCs w:val="21"/>
              </w:rPr>
              <w:t>0,9%</w:t>
            </w:r>
          </w:p>
        </w:tc>
        <w:tc>
          <w:tcPr>
            <w:tcW w:w="794" w:type="dxa"/>
            <w:vAlign w:val="center"/>
          </w:tcPr>
          <w:p w:rsidR="00023CD6" w:rsidRPr="008C19E7" w:rsidRDefault="008C19E7" w:rsidP="007A4162">
            <w:pPr>
              <w:jc w:val="center"/>
              <w:rPr>
                <w:sz w:val="21"/>
                <w:szCs w:val="21"/>
              </w:rPr>
            </w:pPr>
            <w:r>
              <w:rPr>
                <w:sz w:val="21"/>
                <w:szCs w:val="21"/>
              </w:rPr>
              <w:t>0,7%</w:t>
            </w:r>
          </w:p>
        </w:tc>
        <w:tc>
          <w:tcPr>
            <w:tcW w:w="1247" w:type="dxa"/>
            <w:vAlign w:val="center"/>
          </w:tcPr>
          <w:p w:rsidR="00023CD6" w:rsidRPr="008C19E7" w:rsidRDefault="00023CD6" w:rsidP="00AA4083">
            <w:pPr>
              <w:jc w:val="center"/>
              <w:rPr>
                <w:sz w:val="21"/>
                <w:szCs w:val="21"/>
              </w:rPr>
            </w:pPr>
            <w:r w:rsidRPr="008C19E7">
              <w:rPr>
                <w:sz w:val="21"/>
                <w:szCs w:val="21"/>
              </w:rPr>
              <w:t>6,7 / 10,2%</w:t>
            </w:r>
          </w:p>
        </w:tc>
        <w:tc>
          <w:tcPr>
            <w:tcW w:w="1191" w:type="dxa"/>
            <w:vAlign w:val="center"/>
          </w:tcPr>
          <w:p w:rsidR="00023CD6" w:rsidRPr="008C19E7" w:rsidRDefault="00023CD6" w:rsidP="00BE7D9D">
            <w:pPr>
              <w:jc w:val="center"/>
              <w:rPr>
                <w:sz w:val="21"/>
                <w:szCs w:val="21"/>
              </w:rPr>
            </w:pPr>
            <w:r w:rsidRPr="008C19E7">
              <w:rPr>
                <w:sz w:val="21"/>
                <w:szCs w:val="21"/>
              </w:rPr>
              <w:t>4,7 / 6,5%</w:t>
            </w:r>
          </w:p>
        </w:tc>
      </w:tr>
      <w:tr w:rsidR="00023CD6" w:rsidRPr="0029403D" w:rsidTr="008C19E7">
        <w:tc>
          <w:tcPr>
            <w:tcW w:w="2438" w:type="dxa"/>
          </w:tcPr>
          <w:p w:rsidR="00023CD6" w:rsidRPr="008C19E7" w:rsidRDefault="00023CD6" w:rsidP="00BE7D9D">
            <w:pPr>
              <w:rPr>
                <w:sz w:val="22"/>
                <w:szCs w:val="22"/>
              </w:rPr>
            </w:pPr>
            <w:r w:rsidRPr="008C19E7">
              <w:rPr>
                <w:sz w:val="22"/>
                <w:szCs w:val="22"/>
              </w:rPr>
              <w:t>Национальная бе</w:t>
            </w:r>
            <w:r w:rsidRPr="008C19E7">
              <w:rPr>
                <w:sz w:val="22"/>
                <w:szCs w:val="22"/>
              </w:rPr>
              <w:t>з</w:t>
            </w:r>
            <w:r w:rsidRPr="008C19E7">
              <w:rPr>
                <w:sz w:val="22"/>
                <w:szCs w:val="22"/>
              </w:rPr>
              <w:t>опасность и прав</w:t>
            </w:r>
            <w:r w:rsidRPr="008C19E7">
              <w:rPr>
                <w:sz w:val="22"/>
                <w:szCs w:val="22"/>
              </w:rPr>
              <w:t>о</w:t>
            </w:r>
            <w:r w:rsidRPr="008C19E7">
              <w:rPr>
                <w:sz w:val="22"/>
                <w:szCs w:val="22"/>
              </w:rPr>
              <w:t>охранительная де</w:t>
            </w:r>
            <w:r w:rsidRPr="008C19E7">
              <w:rPr>
                <w:sz w:val="22"/>
                <w:szCs w:val="22"/>
              </w:rPr>
              <w:t>я</w:t>
            </w:r>
            <w:r w:rsidRPr="008C19E7">
              <w:rPr>
                <w:sz w:val="22"/>
                <w:szCs w:val="22"/>
              </w:rPr>
              <w:t>тельность</w:t>
            </w:r>
          </w:p>
        </w:tc>
        <w:tc>
          <w:tcPr>
            <w:tcW w:w="794" w:type="dxa"/>
            <w:vAlign w:val="center"/>
          </w:tcPr>
          <w:p w:rsidR="00023CD6" w:rsidRPr="008C19E7" w:rsidRDefault="00023CD6" w:rsidP="00AA4083">
            <w:pPr>
              <w:jc w:val="center"/>
              <w:rPr>
                <w:sz w:val="21"/>
                <w:szCs w:val="21"/>
              </w:rPr>
            </w:pPr>
            <w:r w:rsidRPr="008C19E7">
              <w:rPr>
                <w:sz w:val="21"/>
                <w:szCs w:val="21"/>
              </w:rPr>
              <w:t>64,4</w:t>
            </w:r>
          </w:p>
        </w:tc>
        <w:tc>
          <w:tcPr>
            <w:tcW w:w="794" w:type="dxa"/>
            <w:vAlign w:val="center"/>
          </w:tcPr>
          <w:p w:rsidR="00023CD6" w:rsidRPr="008C19E7" w:rsidRDefault="00023CD6" w:rsidP="00AA4083">
            <w:pPr>
              <w:jc w:val="center"/>
              <w:rPr>
                <w:sz w:val="21"/>
                <w:szCs w:val="21"/>
              </w:rPr>
            </w:pPr>
            <w:r w:rsidRPr="008C19E7">
              <w:rPr>
                <w:sz w:val="21"/>
                <w:szCs w:val="21"/>
              </w:rPr>
              <w:t>288,5</w:t>
            </w:r>
          </w:p>
        </w:tc>
        <w:tc>
          <w:tcPr>
            <w:tcW w:w="907" w:type="dxa"/>
            <w:vAlign w:val="center"/>
          </w:tcPr>
          <w:p w:rsidR="00023CD6" w:rsidRPr="008C19E7" w:rsidRDefault="008C19E7" w:rsidP="00BE7D9D">
            <w:pPr>
              <w:jc w:val="center"/>
              <w:rPr>
                <w:sz w:val="21"/>
                <w:szCs w:val="21"/>
              </w:rPr>
            </w:pPr>
            <w:r w:rsidRPr="008C19E7">
              <w:rPr>
                <w:sz w:val="21"/>
                <w:szCs w:val="21"/>
              </w:rPr>
              <w:t>3456,5</w:t>
            </w:r>
          </w:p>
        </w:tc>
        <w:tc>
          <w:tcPr>
            <w:tcW w:w="794" w:type="dxa"/>
            <w:vAlign w:val="center"/>
          </w:tcPr>
          <w:p w:rsidR="00023CD6" w:rsidRPr="008C19E7" w:rsidRDefault="00023CD6" w:rsidP="00AA4083">
            <w:pPr>
              <w:jc w:val="center"/>
              <w:rPr>
                <w:sz w:val="21"/>
                <w:szCs w:val="21"/>
              </w:rPr>
            </w:pPr>
            <w:r w:rsidRPr="008C19E7">
              <w:rPr>
                <w:sz w:val="21"/>
                <w:szCs w:val="21"/>
              </w:rPr>
              <w:t>0,8%</w:t>
            </w:r>
          </w:p>
        </w:tc>
        <w:tc>
          <w:tcPr>
            <w:tcW w:w="794" w:type="dxa"/>
            <w:vAlign w:val="center"/>
          </w:tcPr>
          <w:p w:rsidR="00023CD6" w:rsidRPr="008C19E7" w:rsidRDefault="00023CD6" w:rsidP="00AA4083">
            <w:pPr>
              <w:jc w:val="center"/>
              <w:rPr>
                <w:sz w:val="21"/>
                <w:szCs w:val="21"/>
              </w:rPr>
            </w:pPr>
            <w:r w:rsidRPr="008C19E7">
              <w:rPr>
                <w:sz w:val="21"/>
                <w:szCs w:val="21"/>
              </w:rPr>
              <w:t>3,4%</w:t>
            </w:r>
          </w:p>
        </w:tc>
        <w:tc>
          <w:tcPr>
            <w:tcW w:w="794" w:type="dxa"/>
            <w:vAlign w:val="center"/>
          </w:tcPr>
          <w:p w:rsidR="00023CD6" w:rsidRPr="008C19E7" w:rsidRDefault="008C19E7" w:rsidP="00BE7D9D">
            <w:pPr>
              <w:jc w:val="center"/>
              <w:rPr>
                <w:sz w:val="21"/>
                <w:szCs w:val="21"/>
              </w:rPr>
            </w:pPr>
            <w:r>
              <w:rPr>
                <w:sz w:val="21"/>
                <w:szCs w:val="21"/>
              </w:rPr>
              <w:t>29,1%</w:t>
            </w:r>
          </w:p>
        </w:tc>
        <w:tc>
          <w:tcPr>
            <w:tcW w:w="1247" w:type="dxa"/>
            <w:vAlign w:val="center"/>
          </w:tcPr>
          <w:p w:rsidR="00023CD6" w:rsidRPr="008C19E7" w:rsidRDefault="00023CD6" w:rsidP="00AA4083">
            <w:pPr>
              <w:jc w:val="center"/>
              <w:rPr>
                <w:sz w:val="21"/>
                <w:szCs w:val="21"/>
              </w:rPr>
            </w:pPr>
            <w:r w:rsidRPr="008C19E7">
              <w:rPr>
                <w:sz w:val="21"/>
                <w:szCs w:val="21"/>
              </w:rPr>
              <w:t>224,1 / 4,5 раза</w:t>
            </w:r>
          </w:p>
        </w:tc>
        <w:tc>
          <w:tcPr>
            <w:tcW w:w="1191" w:type="dxa"/>
            <w:vAlign w:val="center"/>
          </w:tcPr>
          <w:p w:rsidR="00023CD6" w:rsidRPr="008C19E7" w:rsidRDefault="00023CD6" w:rsidP="00023CD6">
            <w:pPr>
              <w:jc w:val="center"/>
              <w:rPr>
                <w:sz w:val="21"/>
                <w:szCs w:val="21"/>
              </w:rPr>
            </w:pPr>
            <w:r w:rsidRPr="008C19E7">
              <w:rPr>
                <w:sz w:val="21"/>
                <w:szCs w:val="21"/>
              </w:rPr>
              <w:t>3168,0 / 12 раз</w:t>
            </w:r>
          </w:p>
        </w:tc>
      </w:tr>
      <w:tr w:rsidR="00023CD6" w:rsidRPr="0029403D" w:rsidTr="008C19E7">
        <w:tc>
          <w:tcPr>
            <w:tcW w:w="2438" w:type="dxa"/>
          </w:tcPr>
          <w:p w:rsidR="00023CD6" w:rsidRPr="008C19E7" w:rsidRDefault="00023CD6" w:rsidP="007A4162">
            <w:pPr>
              <w:rPr>
                <w:sz w:val="22"/>
                <w:szCs w:val="22"/>
              </w:rPr>
            </w:pPr>
            <w:r w:rsidRPr="008C19E7">
              <w:rPr>
                <w:sz w:val="22"/>
                <w:szCs w:val="22"/>
              </w:rPr>
              <w:t>Национальная экон</w:t>
            </w:r>
            <w:r w:rsidRPr="008C19E7">
              <w:rPr>
                <w:sz w:val="22"/>
                <w:szCs w:val="22"/>
              </w:rPr>
              <w:t>о</w:t>
            </w:r>
            <w:r w:rsidRPr="008C19E7">
              <w:rPr>
                <w:sz w:val="22"/>
                <w:szCs w:val="22"/>
              </w:rPr>
              <w:t>мика</w:t>
            </w:r>
          </w:p>
        </w:tc>
        <w:tc>
          <w:tcPr>
            <w:tcW w:w="794" w:type="dxa"/>
            <w:vAlign w:val="center"/>
          </w:tcPr>
          <w:p w:rsidR="00023CD6" w:rsidRPr="008C19E7" w:rsidRDefault="00023CD6" w:rsidP="00AA4083">
            <w:pPr>
              <w:jc w:val="center"/>
              <w:rPr>
                <w:sz w:val="21"/>
                <w:szCs w:val="21"/>
              </w:rPr>
            </w:pPr>
            <w:r w:rsidRPr="008C19E7">
              <w:rPr>
                <w:sz w:val="21"/>
                <w:szCs w:val="21"/>
              </w:rPr>
              <w:t>18,8</w:t>
            </w:r>
          </w:p>
        </w:tc>
        <w:tc>
          <w:tcPr>
            <w:tcW w:w="794" w:type="dxa"/>
            <w:vAlign w:val="center"/>
          </w:tcPr>
          <w:p w:rsidR="00023CD6" w:rsidRPr="008C19E7" w:rsidRDefault="00023CD6" w:rsidP="00AA4083">
            <w:pPr>
              <w:jc w:val="center"/>
              <w:rPr>
                <w:sz w:val="21"/>
                <w:szCs w:val="21"/>
              </w:rPr>
            </w:pPr>
            <w:r w:rsidRPr="008C19E7">
              <w:rPr>
                <w:sz w:val="21"/>
                <w:szCs w:val="21"/>
              </w:rPr>
              <w:t>455,6</w:t>
            </w:r>
          </w:p>
        </w:tc>
        <w:tc>
          <w:tcPr>
            <w:tcW w:w="907" w:type="dxa"/>
            <w:vAlign w:val="center"/>
          </w:tcPr>
          <w:p w:rsidR="00023CD6" w:rsidRPr="008C19E7" w:rsidRDefault="008C19E7" w:rsidP="00214D1D">
            <w:pPr>
              <w:jc w:val="center"/>
              <w:rPr>
                <w:sz w:val="21"/>
                <w:szCs w:val="21"/>
              </w:rPr>
            </w:pPr>
            <w:r w:rsidRPr="008C19E7">
              <w:rPr>
                <w:sz w:val="21"/>
                <w:szCs w:val="21"/>
              </w:rPr>
              <w:t>118,7</w:t>
            </w:r>
          </w:p>
        </w:tc>
        <w:tc>
          <w:tcPr>
            <w:tcW w:w="794" w:type="dxa"/>
            <w:vAlign w:val="center"/>
          </w:tcPr>
          <w:p w:rsidR="00023CD6" w:rsidRPr="008C19E7" w:rsidRDefault="00023CD6" w:rsidP="00AA4083">
            <w:pPr>
              <w:jc w:val="center"/>
              <w:rPr>
                <w:sz w:val="21"/>
                <w:szCs w:val="21"/>
              </w:rPr>
            </w:pPr>
            <w:r w:rsidRPr="008C19E7">
              <w:rPr>
                <w:sz w:val="21"/>
                <w:szCs w:val="21"/>
              </w:rPr>
              <w:t>0,2%</w:t>
            </w:r>
          </w:p>
        </w:tc>
        <w:tc>
          <w:tcPr>
            <w:tcW w:w="794" w:type="dxa"/>
            <w:vAlign w:val="center"/>
          </w:tcPr>
          <w:p w:rsidR="00023CD6" w:rsidRPr="008C19E7" w:rsidRDefault="00023CD6" w:rsidP="00AA4083">
            <w:pPr>
              <w:jc w:val="center"/>
              <w:rPr>
                <w:sz w:val="21"/>
                <w:szCs w:val="21"/>
              </w:rPr>
            </w:pPr>
            <w:r w:rsidRPr="008C19E7">
              <w:rPr>
                <w:sz w:val="21"/>
                <w:szCs w:val="21"/>
              </w:rPr>
              <w:t>5,4%</w:t>
            </w:r>
          </w:p>
        </w:tc>
        <w:tc>
          <w:tcPr>
            <w:tcW w:w="794" w:type="dxa"/>
            <w:vAlign w:val="center"/>
          </w:tcPr>
          <w:p w:rsidR="00023CD6" w:rsidRPr="008C19E7" w:rsidRDefault="008C19E7" w:rsidP="007A4162">
            <w:pPr>
              <w:jc w:val="center"/>
              <w:rPr>
                <w:sz w:val="21"/>
                <w:szCs w:val="21"/>
              </w:rPr>
            </w:pPr>
            <w:r>
              <w:rPr>
                <w:sz w:val="21"/>
                <w:szCs w:val="21"/>
              </w:rPr>
              <w:t>1,0%</w:t>
            </w:r>
          </w:p>
        </w:tc>
        <w:tc>
          <w:tcPr>
            <w:tcW w:w="1247" w:type="dxa"/>
            <w:vAlign w:val="center"/>
          </w:tcPr>
          <w:p w:rsidR="00023CD6" w:rsidRPr="008C19E7" w:rsidRDefault="00023CD6" w:rsidP="00AA4083">
            <w:pPr>
              <w:jc w:val="center"/>
              <w:rPr>
                <w:sz w:val="21"/>
                <w:szCs w:val="21"/>
              </w:rPr>
            </w:pPr>
            <w:r w:rsidRPr="008C19E7">
              <w:rPr>
                <w:sz w:val="21"/>
                <w:szCs w:val="21"/>
              </w:rPr>
              <w:t>436,8 / 24,2 раза</w:t>
            </w:r>
          </w:p>
        </w:tc>
        <w:tc>
          <w:tcPr>
            <w:tcW w:w="1191" w:type="dxa"/>
            <w:vAlign w:val="center"/>
          </w:tcPr>
          <w:p w:rsidR="00023CD6" w:rsidRPr="008C19E7" w:rsidRDefault="00023CD6" w:rsidP="00214D1D">
            <w:pPr>
              <w:jc w:val="center"/>
              <w:rPr>
                <w:sz w:val="21"/>
                <w:szCs w:val="21"/>
              </w:rPr>
            </w:pPr>
            <w:r w:rsidRPr="008C19E7">
              <w:rPr>
                <w:sz w:val="21"/>
                <w:szCs w:val="21"/>
              </w:rPr>
              <w:t xml:space="preserve">-336,9 / </w:t>
            </w:r>
          </w:p>
          <w:p w:rsidR="00023CD6" w:rsidRPr="008C19E7" w:rsidRDefault="00023CD6" w:rsidP="00214D1D">
            <w:pPr>
              <w:jc w:val="center"/>
              <w:rPr>
                <w:sz w:val="21"/>
                <w:szCs w:val="21"/>
              </w:rPr>
            </w:pPr>
            <w:r w:rsidRPr="008C19E7">
              <w:rPr>
                <w:sz w:val="21"/>
                <w:szCs w:val="21"/>
              </w:rPr>
              <w:t>-73,9%</w:t>
            </w:r>
          </w:p>
        </w:tc>
      </w:tr>
      <w:tr w:rsidR="00023CD6" w:rsidRPr="0029403D" w:rsidTr="008C19E7">
        <w:tc>
          <w:tcPr>
            <w:tcW w:w="2438" w:type="dxa"/>
            <w:vAlign w:val="center"/>
          </w:tcPr>
          <w:p w:rsidR="00023CD6" w:rsidRPr="008C19E7" w:rsidRDefault="00023CD6" w:rsidP="00BE7D9D">
            <w:pPr>
              <w:rPr>
                <w:sz w:val="22"/>
                <w:szCs w:val="22"/>
              </w:rPr>
            </w:pPr>
            <w:r w:rsidRPr="008C19E7">
              <w:rPr>
                <w:sz w:val="22"/>
                <w:szCs w:val="22"/>
              </w:rPr>
              <w:t>Жилищно-комму-нальное хозяйство</w:t>
            </w:r>
          </w:p>
        </w:tc>
        <w:tc>
          <w:tcPr>
            <w:tcW w:w="794" w:type="dxa"/>
            <w:vAlign w:val="center"/>
          </w:tcPr>
          <w:p w:rsidR="00023CD6" w:rsidRPr="008C19E7" w:rsidRDefault="00023CD6" w:rsidP="00AA4083">
            <w:pPr>
              <w:jc w:val="center"/>
              <w:rPr>
                <w:sz w:val="21"/>
                <w:szCs w:val="21"/>
              </w:rPr>
            </w:pPr>
            <w:r w:rsidRPr="008C19E7">
              <w:rPr>
                <w:sz w:val="21"/>
                <w:szCs w:val="21"/>
              </w:rPr>
              <w:t>960,7</w:t>
            </w:r>
          </w:p>
        </w:tc>
        <w:tc>
          <w:tcPr>
            <w:tcW w:w="794" w:type="dxa"/>
            <w:vAlign w:val="center"/>
          </w:tcPr>
          <w:p w:rsidR="00023CD6" w:rsidRPr="008C19E7" w:rsidRDefault="00023CD6" w:rsidP="00AA4083">
            <w:pPr>
              <w:jc w:val="center"/>
              <w:rPr>
                <w:sz w:val="21"/>
                <w:szCs w:val="21"/>
              </w:rPr>
            </w:pPr>
            <w:r w:rsidRPr="008C19E7">
              <w:rPr>
                <w:sz w:val="21"/>
                <w:szCs w:val="21"/>
              </w:rPr>
              <w:t>872,7</w:t>
            </w:r>
          </w:p>
        </w:tc>
        <w:tc>
          <w:tcPr>
            <w:tcW w:w="907" w:type="dxa"/>
            <w:vAlign w:val="center"/>
          </w:tcPr>
          <w:p w:rsidR="00023CD6" w:rsidRPr="008C19E7" w:rsidRDefault="008C19E7" w:rsidP="00381832">
            <w:pPr>
              <w:jc w:val="center"/>
              <w:rPr>
                <w:sz w:val="21"/>
                <w:szCs w:val="21"/>
              </w:rPr>
            </w:pPr>
            <w:r w:rsidRPr="008C19E7">
              <w:rPr>
                <w:sz w:val="21"/>
                <w:szCs w:val="21"/>
              </w:rPr>
              <w:t>1804,0</w:t>
            </w:r>
          </w:p>
        </w:tc>
        <w:tc>
          <w:tcPr>
            <w:tcW w:w="794" w:type="dxa"/>
            <w:vAlign w:val="center"/>
          </w:tcPr>
          <w:p w:rsidR="00023CD6" w:rsidRPr="008C19E7" w:rsidRDefault="00023CD6" w:rsidP="00AA4083">
            <w:pPr>
              <w:jc w:val="center"/>
              <w:rPr>
                <w:sz w:val="21"/>
                <w:szCs w:val="21"/>
              </w:rPr>
            </w:pPr>
            <w:r w:rsidRPr="008C19E7">
              <w:rPr>
                <w:sz w:val="21"/>
                <w:szCs w:val="21"/>
              </w:rPr>
              <w:t>12,3%</w:t>
            </w:r>
          </w:p>
        </w:tc>
        <w:tc>
          <w:tcPr>
            <w:tcW w:w="794" w:type="dxa"/>
            <w:vAlign w:val="center"/>
          </w:tcPr>
          <w:p w:rsidR="00023CD6" w:rsidRPr="008C19E7" w:rsidRDefault="00023CD6" w:rsidP="00AA4083">
            <w:pPr>
              <w:jc w:val="center"/>
              <w:rPr>
                <w:sz w:val="21"/>
                <w:szCs w:val="21"/>
              </w:rPr>
            </w:pPr>
            <w:r w:rsidRPr="008C19E7">
              <w:rPr>
                <w:sz w:val="21"/>
                <w:szCs w:val="21"/>
              </w:rPr>
              <w:t>10,4%</w:t>
            </w:r>
          </w:p>
        </w:tc>
        <w:tc>
          <w:tcPr>
            <w:tcW w:w="794" w:type="dxa"/>
            <w:vAlign w:val="center"/>
          </w:tcPr>
          <w:p w:rsidR="00023CD6" w:rsidRPr="008C19E7" w:rsidRDefault="008C19E7" w:rsidP="00BE7D9D">
            <w:pPr>
              <w:jc w:val="center"/>
              <w:rPr>
                <w:sz w:val="21"/>
                <w:szCs w:val="21"/>
              </w:rPr>
            </w:pPr>
            <w:r>
              <w:rPr>
                <w:sz w:val="21"/>
                <w:szCs w:val="21"/>
              </w:rPr>
              <w:t>15,2%</w:t>
            </w:r>
          </w:p>
        </w:tc>
        <w:tc>
          <w:tcPr>
            <w:tcW w:w="1247" w:type="dxa"/>
            <w:vAlign w:val="center"/>
          </w:tcPr>
          <w:p w:rsidR="00023CD6" w:rsidRPr="008C19E7" w:rsidRDefault="00023CD6" w:rsidP="00AA4083">
            <w:pPr>
              <w:jc w:val="center"/>
              <w:rPr>
                <w:sz w:val="21"/>
                <w:szCs w:val="21"/>
              </w:rPr>
            </w:pPr>
            <w:r w:rsidRPr="008C19E7">
              <w:rPr>
                <w:sz w:val="21"/>
                <w:szCs w:val="21"/>
              </w:rPr>
              <w:t xml:space="preserve">-88,0 / </w:t>
            </w:r>
          </w:p>
          <w:p w:rsidR="00023CD6" w:rsidRPr="008C19E7" w:rsidRDefault="00023CD6" w:rsidP="00AA4083">
            <w:pPr>
              <w:jc w:val="center"/>
              <w:rPr>
                <w:sz w:val="21"/>
                <w:szCs w:val="21"/>
              </w:rPr>
            </w:pPr>
            <w:r w:rsidRPr="008C19E7">
              <w:rPr>
                <w:sz w:val="21"/>
                <w:szCs w:val="21"/>
              </w:rPr>
              <w:t>-9,2%</w:t>
            </w:r>
          </w:p>
        </w:tc>
        <w:tc>
          <w:tcPr>
            <w:tcW w:w="1191" w:type="dxa"/>
            <w:vAlign w:val="center"/>
          </w:tcPr>
          <w:p w:rsidR="00023CD6" w:rsidRPr="008C19E7" w:rsidRDefault="00023CD6" w:rsidP="00BE7D9D">
            <w:pPr>
              <w:jc w:val="center"/>
              <w:rPr>
                <w:sz w:val="21"/>
                <w:szCs w:val="21"/>
              </w:rPr>
            </w:pPr>
            <w:r w:rsidRPr="008C19E7">
              <w:rPr>
                <w:sz w:val="21"/>
                <w:szCs w:val="21"/>
              </w:rPr>
              <w:t>931,3 / 106,7%</w:t>
            </w:r>
          </w:p>
        </w:tc>
      </w:tr>
      <w:tr w:rsidR="00023CD6" w:rsidRPr="0029403D" w:rsidTr="008C19E7">
        <w:tc>
          <w:tcPr>
            <w:tcW w:w="2438" w:type="dxa"/>
            <w:vAlign w:val="center"/>
          </w:tcPr>
          <w:p w:rsidR="00023CD6" w:rsidRPr="008C19E7" w:rsidRDefault="00023CD6" w:rsidP="00BE7D9D">
            <w:pPr>
              <w:rPr>
                <w:sz w:val="22"/>
                <w:szCs w:val="22"/>
              </w:rPr>
            </w:pPr>
            <w:r w:rsidRPr="008C19E7">
              <w:rPr>
                <w:sz w:val="22"/>
                <w:szCs w:val="22"/>
              </w:rPr>
              <w:br w:type="page"/>
              <w:t>Культура, кинемат</w:t>
            </w:r>
            <w:r w:rsidRPr="008C19E7">
              <w:rPr>
                <w:sz w:val="22"/>
                <w:szCs w:val="22"/>
              </w:rPr>
              <w:t>о</w:t>
            </w:r>
            <w:r w:rsidRPr="008C19E7">
              <w:rPr>
                <w:sz w:val="22"/>
                <w:szCs w:val="22"/>
              </w:rPr>
              <w:t>графия</w:t>
            </w:r>
          </w:p>
        </w:tc>
        <w:tc>
          <w:tcPr>
            <w:tcW w:w="794" w:type="dxa"/>
            <w:vAlign w:val="center"/>
          </w:tcPr>
          <w:p w:rsidR="00023CD6" w:rsidRPr="008C19E7" w:rsidRDefault="00023CD6" w:rsidP="00AA4083">
            <w:pPr>
              <w:jc w:val="center"/>
              <w:rPr>
                <w:sz w:val="21"/>
                <w:szCs w:val="21"/>
              </w:rPr>
            </w:pPr>
            <w:r w:rsidRPr="008C19E7">
              <w:rPr>
                <w:sz w:val="21"/>
                <w:szCs w:val="21"/>
              </w:rPr>
              <w:t>5118,6</w:t>
            </w:r>
          </w:p>
        </w:tc>
        <w:tc>
          <w:tcPr>
            <w:tcW w:w="794" w:type="dxa"/>
            <w:vAlign w:val="center"/>
          </w:tcPr>
          <w:p w:rsidR="00023CD6" w:rsidRPr="008C19E7" w:rsidRDefault="00023CD6" w:rsidP="00AA4083">
            <w:pPr>
              <w:jc w:val="center"/>
              <w:rPr>
                <w:sz w:val="21"/>
                <w:szCs w:val="21"/>
              </w:rPr>
            </w:pPr>
            <w:r w:rsidRPr="008C19E7">
              <w:rPr>
                <w:sz w:val="21"/>
                <w:szCs w:val="21"/>
              </w:rPr>
              <w:t>5073,9</w:t>
            </w:r>
          </w:p>
        </w:tc>
        <w:tc>
          <w:tcPr>
            <w:tcW w:w="907" w:type="dxa"/>
            <w:vAlign w:val="center"/>
          </w:tcPr>
          <w:p w:rsidR="00023CD6" w:rsidRPr="008C19E7" w:rsidRDefault="008C19E7" w:rsidP="00BE7D9D">
            <w:pPr>
              <w:jc w:val="center"/>
              <w:rPr>
                <w:sz w:val="21"/>
                <w:szCs w:val="21"/>
              </w:rPr>
            </w:pPr>
            <w:r w:rsidRPr="008C19E7">
              <w:rPr>
                <w:sz w:val="21"/>
                <w:szCs w:val="21"/>
              </w:rPr>
              <w:t>4404,6</w:t>
            </w:r>
          </w:p>
        </w:tc>
        <w:tc>
          <w:tcPr>
            <w:tcW w:w="794" w:type="dxa"/>
            <w:vAlign w:val="center"/>
          </w:tcPr>
          <w:p w:rsidR="00023CD6" w:rsidRPr="008C19E7" w:rsidRDefault="00023CD6" w:rsidP="00AA4083">
            <w:pPr>
              <w:jc w:val="center"/>
              <w:rPr>
                <w:sz w:val="21"/>
                <w:szCs w:val="21"/>
              </w:rPr>
            </w:pPr>
            <w:r w:rsidRPr="008C19E7">
              <w:rPr>
                <w:sz w:val="21"/>
                <w:szCs w:val="21"/>
              </w:rPr>
              <w:t>65,5%</w:t>
            </w:r>
          </w:p>
        </w:tc>
        <w:tc>
          <w:tcPr>
            <w:tcW w:w="794" w:type="dxa"/>
            <w:vAlign w:val="center"/>
          </w:tcPr>
          <w:p w:rsidR="00023CD6" w:rsidRPr="008C19E7" w:rsidRDefault="00023CD6" w:rsidP="00AA4083">
            <w:pPr>
              <w:jc w:val="center"/>
              <w:rPr>
                <w:sz w:val="21"/>
                <w:szCs w:val="21"/>
              </w:rPr>
            </w:pPr>
            <w:r w:rsidRPr="008C19E7">
              <w:rPr>
                <w:sz w:val="21"/>
                <w:szCs w:val="21"/>
              </w:rPr>
              <w:t>60,6%</w:t>
            </w:r>
          </w:p>
        </w:tc>
        <w:tc>
          <w:tcPr>
            <w:tcW w:w="794" w:type="dxa"/>
            <w:vAlign w:val="center"/>
          </w:tcPr>
          <w:p w:rsidR="00023CD6" w:rsidRPr="008C19E7" w:rsidRDefault="008C19E7" w:rsidP="00BE7D9D">
            <w:pPr>
              <w:jc w:val="center"/>
              <w:rPr>
                <w:sz w:val="21"/>
                <w:szCs w:val="21"/>
              </w:rPr>
            </w:pPr>
            <w:r>
              <w:rPr>
                <w:sz w:val="21"/>
                <w:szCs w:val="21"/>
              </w:rPr>
              <w:t>37,1%</w:t>
            </w:r>
          </w:p>
        </w:tc>
        <w:tc>
          <w:tcPr>
            <w:tcW w:w="1247" w:type="dxa"/>
            <w:vAlign w:val="center"/>
          </w:tcPr>
          <w:p w:rsidR="00023CD6" w:rsidRPr="008C19E7" w:rsidRDefault="00023CD6" w:rsidP="00AA4083">
            <w:pPr>
              <w:jc w:val="center"/>
              <w:rPr>
                <w:sz w:val="21"/>
                <w:szCs w:val="21"/>
              </w:rPr>
            </w:pPr>
            <w:r w:rsidRPr="008C19E7">
              <w:rPr>
                <w:sz w:val="21"/>
                <w:szCs w:val="21"/>
              </w:rPr>
              <w:t xml:space="preserve">-44,7 / </w:t>
            </w:r>
          </w:p>
          <w:p w:rsidR="00023CD6" w:rsidRPr="008C19E7" w:rsidRDefault="00023CD6" w:rsidP="00AA4083">
            <w:pPr>
              <w:jc w:val="center"/>
              <w:rPr>
                <w:sz w:val="21"/>
                <w:szCs w:val="21"/>
              </w:rPr>
            </w:pPr>
            <w:r w:rsidRPr="008C19E7">
              <w:rPr>
                <w:sz w:val="21"/>
                <w:szCs w:val="21"/>
              </w:rPr>
              <w:t>-0,9%</w:t>
            </w:r>
          </w:p>
        </w:tc>
        <w:tc>
          <w:tcPr>
            <w:tcW w:w="1191" w:type="dxa"/>
            <w:vAlign w:val="center"/>
          </w:tcPr>
          <w:p w:rsidR="00023CD6" w:rsidRPr="008C19E7" w:rsidRDefault="00023CD6" w:rsidP="00BE7D9D">
            <w:pPr>
              <w:jc w:val="center"/>
              <w:rPr>
                <w:sz w:val="21"/>
                <w:szCs w:val="21"/>
              </w:rPr>
            </w:pPr>
            <w:r w:rsidRPr="008C19E7">
              <w:rPr>
                <w:sz w:val="21"/>
                <w:szCs w:val="21"/>
              </w:rPr>
              <w:t xml:space="preserve">-669,3 / </w:t>
            </w:r>
          </w:p>
          <w:p w:rsidR="00023CD6" w:rsidRPr="008C19E7" w:rsidRDefault="00023CD6" w:rsidP="00BE7D9D">
            <w:pPr>
              <w:jc w:val="center"/>
              <w:rPr>
                <w:sz w:val="21"/>
                <w:szCs w:val="21"/>
              </w:rPr>
            </w:pPr>
            <w:r w:rsidRPr="008C19E7">
              <w:rPr>
                <w:sz w:val="21"/>
                <w:szCs w:val="21"/>
              </w:rPr>
              <w:t>-13,2%</w:t>
            </w:r>
          </w:p>
        </w:tc>
      </w:tr>
      <w:tr w:rsidR="00023CD6" w:rsidRPr="0029403D" w:rsidTr="008C19E7">
        <w:tc>
          <w:tcPr>
            <w:tcW w:w="2438" w:type="dxa"/>
          </w:tcPr>
          <w:p w:rsidR="00023CD6" w:rsidRPr="008C19E7" w:rsidRDefault="00023CD6" w:rsidP="008C19E7">
            <w:pPr>
              <w:spacing w:before="120"/>
              <w:rPr>
                <w:spacing w:val="-2"/>
                <w:sz w:val="22"/>
                <w:szCs w:val="22"/>
              </w:rPr>
            </w:pPr>
            <w:r w:rsidRPr="008C19E7">
              <w:rPr>
                <w:spacing w:val="-2"/>
                <w:sz w:val="22"/>
                <w:szCs w:val="22"/>
              </w:rPr>
              <w:t>Социальная политика</w:t>
            </w:r>
          </w:p>
        </w:tc>
        <w:tc>
          <w:tcPr>
            <w:tcW w:w="794" w:type="dxa"/>
            <w:vAlign w:val="center"/>
          </w:tcPr>
          <w:p w:rsidR="00023CD6" w:rsidRPr="008C19E7" w:rsidRDefault="00023CD6" w:rsidP="00AA4083">
            <w:pPr>
              <w:jc w:val="center"/>
              <w:rPr>
                <w:sz w:val="21"/>
                <w:szCs w:val="21"/>
              </w:rPr>
            </w:pPr>
            <w:r w:rsidRPr="008C19E7">
              <w:rPr>
                <w:sz w:val="21"/>
                <w:szCs w:val="21"/>
              </w:rPr>
              <w:t>7,7</w:t>
            </w:r>
          </w:p>
        </w:tc>
        <w:tc>
          <w:tcPr>
            <w:tcW w:w="794" w:type="dxa"/>
            <w:vAlign w:val="center"/>
          </w:tcPr>
          <w:p w:rsidR="00023CD6" w:rsidRPr="008C19E7" w:rsidRDefault="00023CD6" w:rsidP="00AA4083">
            <w:pPr>
              <w:jc w:val="center"/>
              <w:rPr>
                <w:sz w:val="21"/>
                <w:szCs w:val="21"/>
              </w:rPr>
            </w:pPr>
            <w:r w:rsidRPr="008C19E7">
              <w:rPr>
                <w:sz w:val="21"/>
                <w:szCs w:val="21"/>
              </w:rPr>
              <w:t>7,4</w:t>
            </w:r>
          </w:p>
        </w:tc>
        <w:tc>
          <w:tcPr>
            <w:tcW w:w="907" w:type="dxa"/>
            <w:vAlign w:val="center"/>
          </w:tcPr>
          <w:p w:rsidR="00023CD6" w:rsidRPr="008C19E7" w:rsidRDefault="008C19E7" w:rsidP="00BE7D9D">
            <w:pPr>
              <w:jc w:val="center"/>
              <w:rPr>
                <w:sz w:val="21"/>
                <w:szCs w:val="21"/>
              </w:rPr>
            </w:pPr>
            <w:r w:rsidRPr="008C19E7">
              <w:rPr>
                <w:sz w:val="21"/>
                <w:szCs w:val="21"/>
              </w:rPr>
              <w:t>23,3</w:t>
            </w:r>
          </w:p>
        </w:tc>
        <w:tc>
          <w:tcPr>
            <w:tcW w:w="794" w:type="dxa"/>
            <w:vAlign w:val="center"/>
          </w:tcPr>
          <w:p w:rsidR="00023CD6" w:rsidRPr="008C19E7" w:rsidRDefault="00023CD6" w:rsidP="00AA4083">
            <w:pPr>
              <w:jc w:val="center"/>
              <w:rPr>
                <w:sz w:val="21"/>
                <w:szCs w:val="21"/>
              </w:rPr>
            </w:pPr>
            <w:r w:rsidRPr="008C19E7">
              <w:rPr>
                <w:sz w:val="21"/>
                <w:szCs w:val="21"/>
              </w:rPr>
              <w:t>0,1%</w:t>
            </w:r>
          </w:p>
        </w:tc>
        <w:tc>
          <w:tcPr>
            <w:tcW w:w="794" w:type="dxa"/>
            <w:vAlign w:val="center"/>
          </w:tcPr>
          <w:p w:rsidR="00023CD6" w:rsidRPr="008C19E7" w:rsidRDefault="00023CD6" w:rsidP="00AA4083">
            <w:pPr>
              <w:jc w:val="center"/>
              <w:rPr>
                <w:sz w:val="21"/>
                <w:szCs w:val="21"/>
              </w:rPr>
            </w:pPr>
            <w:r w:rsidRPr="008C19E7">
              <w:rPr>
                <w:sz w:val="21"/>
                <w:szCs w:val="21"/>
              </w:rPr>
              <w:t>0,1%</w:t>
            </w:r>
          </w:p>
        </w:tc>
        <w:tc>
          <w:tcPr>
            <w:tcW w:w="794" w:type="dxa"/>
            <w:vAlign w:val="center"/>
          </w:tcPr>
          <w:p w:rsidR="00023CD6" w:rsidRPr="008C19E7" w:rsidRDefault="008C19E7" w:rsidP="00BE7D9D">
            <w:pPr>
              <w:jc w:val="center"/>
              <w:rPr>
                <w:sz w:val="21"/>
                <w:szCs w:val="21"/>
              </w:rPr>
            </w:pPr>
            <w:r>
              <w:rPr>
                <w:sz w:val="21"/>
                <w:szCs w:val="21"/>
              </w:rPr>
              <w:t>0,2</w:t>
            </w:r>
          </w:p>
        </w:tc>
        <w:tc>
          <w:tcPr>
            <w:tcW w:w="1247" w:type="dxa"/>
            <w:vAlign w:val="center"/>
          </w:tcPr>
          <w:p w:rsidR="00023CD6" w:rsidRPr="008C19E7" w:rsidRDefault="00023CD6" w:rsidP="00AA4083">
            <w:pPr>
              <w:jc w:val="center"/>
              <w:rPr>
                <w:sz w:val="21"/>
                <w:szCs w:val="21"/>
              </w:rPr>
            </w:pPr>
            <w:r w:rsidRPr="008C19E7">
              <w:rPr>
                <w:sz w:val="21"/>
                <w:szCs w:val="21"/>
              </w:rPr>
              <w:t xml:space="preserve">-0,3 / </w:t>
            </w:r>
          </w:p>
          <w:p w:rsidR="00023CD6" w:rsidRPr="008C19E7" w:rsidRDefault="00023CD6" w:rsidP="00AA4083">
            <w:pPr>
              <w:jc w:val="center"/>
              <w:rPr>
                <w:sz w:val="21"/>
                <w:szCs w:val="21"/>
              </w:rPr>
            </w:pPr>
            <w:r w:rsidRPr="008C19E7">
              <w:rPr>
                <w:sz w:val="21"/>
                <w:szCs w:val="21"/>
              </w:rPr>
              <w:t>-3,9%</w:t>
            </w:r>
          </w:p>
        </w:tc>
        <w:tc>
          <w:tcPr>
            <w:tcW w:w="1191" w:type="dxa"/>
            <w:vAlign w:val="center"/>
          </w:tcPr>
          <w:p w:rsidR="00023CD6" w:rsidRPr="008C19E7" w:rsidRDefault="00023CD6" w:rsidP="00BE7D9D">
            <w:pPr>
              <w:jc w:val="center"/>
              <w:rPr>
                <w:sz w:val="21"/>
                <w:szCs w:val="21"/>
              </w:rPr>
            </w:pPr>
            <w:r w:rsidRPr="008C19E7">
              <w:rPr>
                <w:sz w:val="21"/>
                <w:szCs w:val="21"/>
              </w:rPr>
              <w:t>15,9 / 214,9%</w:t>
            </w:r>
          </w:p>
        </w:tc>
      </w:tr>
      <w:tr w:rsidR="00023CD6" w:rsidRPr="0029403D" w:rsidTr="008C19E7">
        <w:tc>
          <w:tcPr>
            <w:tcW w:w="2438" w:type="dxa"/>
          </w:tcPr>
          <w:p w:rsidR="00023CD6" w:rsidRPr="008C19E7" w:rsidRDefault="00023CD6" w:rsidP="004B6B0C">
            <w:pPr>
              <w:spacing w:before="120"/>
              <w:rPr>
                <w:b/>
                <w:sz w:val="22"/>
                <w:szCs w:val="22"/>
              </w:rPr>
            </w:pPr>
            <w:r w:rsidRPr="008C19E7">
              <w:rPr>
                <w:b/>
                <w:sz w:val="22"/>
                <w:szCs w:val="22"/>
              </w:rPr>
              <w:t>Итого расходов</w:t>
            </w:r>
          </w:p>
        </w:tc>
        <w:tc>
          <w:tcPr>
            <w:tcW w:w="794" w:type="dxa"/>
            <w:vAlign w:val="center"/>
          </w:tcPr>
          <w:p w:rsidR="00023CD6" w:rsidRPr="008C19E7" w:rsidRDefault="00023CD6" w:rsidP="00AA4083">
            <w:pPr>
              <w:jc w:val="center"/>
              <w:rPr>
                <w:b/>
                <w:sz w:val="21"/>
                <w:szCs w:val="21"/>
              </w:rPr>
            </w:pPr>
            <w:r w:rsidRPr="008C19E7">
              <w:rPr>
                <w:b/>
                <w:sz w:val="21"/>
                <w:szCs w:val="21"/>
              </w:rPr>
              <w:t>7815,7</w:t>
            </w:r>
          </w:p>
        </w:tc>
        <w:tc>
          <w:tcPr>
            <w:tcW w:w="794" w:type="dxa"/>
            <w:vAlign w:val="center"/>
          </w:tcPr>
          <w:p w:rsidR="00023CD6" w:rsidRPr="008C19E7" w:rsidRDefault="00023CD6" w:rsidP="00AA4083">
            <w:pPr>
              <w:jc w:val="center"/>
              <w:rPr>
                <w:b/>
                <w:sz w:val="21"/>
                <w:szCs w:val="21"/>
              </w:rPr>
            </w:pPr>
            <w:r w:rsidRPr="008C19E7">
              <w:rPr>
                <w:b/>
                <w:sz w:val="21"/>
                <w:szCs w:val="21"/>
              </w:rPr>
              <w:t>8378,7</w:t>
            </w:r>
          </w:p>
        </w:tc>
        <w:tc>
          <w:tcPr>
            <w:tcW w:w="907" w:type="dxa"/>
            <w:vAlign w:val="center"/>
          </w:tcPr>
          <w:p w:rsidR="00023CD6" w:rsidRPr="008C19E7" w:rsidRDefault="008C19E7" w:rsidP="00BE7D9D">
            <w:pPr>
              <w:jc w:val="center"/>
              <w:rPr>
                <w:b/>
                <w:sz w:val="21"/>
                <w:szCs w:val="21"/>
              </w:rPr>
            </w:pPr>
            <w:r w:rsidRPr="008C19E7">
              <w:rPr>
                <w:b/>
                <w:sz w:val="21"/>
                <w:szCs w:val="21"/>
              </w:rPr>
              <w:t>11879,1</w:t>
            </w:r>
          </w:p>
        </w:tc>
        <w:tc>
          <w:tcPr>
            <w:tcW w:w="794" w:type="dxa"/>
            <w:vAlign w:val="center"/>
          </w:tcPr>
          <w:p w:rsidR="00023CD6" w:rsidRPr="008C19E7" w:rsidRDefault="00023CD6" w:rsidP="00BE7D9D">
            <w:pPr>
              <w:jc w:val="center"/>
              <w:rPr>
                <w:b/>
                <w:sz w:val="21"/>
                <w:szCs w:val="21"/>
              </w:rPr>
            </w:pPr>
            <w:r w:rsidRPr="008C19E7">
              <w:rPr>
                <w:b/>
                <w:sz w:val="21"/>
                <w:szCs w:val="21"/>
              </w:rPr>
              <w:t>100%</w:t>
            </w:r>
          </w:p>
        </w:tc>
        <w:tc>
          <w:tcPr>
            <w:tcW w:w="794" w:type="dxa"/>
            <w:vAlign w:val="center"/>
          </w:tcPr>
          <w:p w:rsidR="00023CD6" w:rsidRPr="008C19E7" w:rsidRDefault="00023CD6" w:rsidP="00BE7D9D">
            <w:pPr>
              <w:jc w:val="center"/>
              <w:rPr>
                <w:b/>
                <w:sz w:val="21"/>
                <w:szCs w:val="21"/>
              </w:rPr>
            </w:pPr>
            <w:r w:rsidRPr="008C19E7">
              <w:rPr>
                <w:b/>
                <w:sz w:val="21"/>
                <w:szCs w:val="21"/>
              </w:rPr>
              <w:t>100%</w:t>
            </w:r>
          </w:p>
        </w:tc>
        <w:tc>
          <w:tcPr>
            <w:tcW w:w="794" w:type="dxa"/>
            <w:vAlign w:val="center"/>
          </w:tcPr>
          <w:p w:rsidR="00023CD6" w:rsidRPr="008C19E7" w:rsidRDefault="00023CD6" w:rsidP="00BE7D9D">
            <w:pPr>
              <w:jc w:val="center"/>
              <w:rPr>
                <w:b/>
                <w:sz w:val="21"/>
                <w:szCs w:val="21"/>
              </w:rPr>
            </w:pPr>
            <w:r w:rsidRPr="008C19E7">
              <w:rPr>
                <w:b/>
                <w:sz w:val="21"/>
                <w:szCs w:val="21"/>
              </w:rPr>
              <w:t>100%</w:t>
            </w:r>
          </w:p>
        </w:tc>
        <w:tc>
          <w:tcPr>
            <w:tcW w:w="1247" w:type="dxa"/>
            <w:vAlign w:val="center"/>
          </w:tcPr>
          <w:p w:rsidR="00023CD6" w:rsidRPr="008C19E7" w:rsidRDefault="00023CD6" w:rsidP="00AA4083">
            <w:pPr>
              <w:jc w:val="center"/>
              <w:rPr>
                <w:b/>
                <w:sz w:val="21"/>
                <w:szCs w:val="21"/>
              </w:rPr>
            </w:pPr>
            <w:r w:rsidRPr="008C19E7">
              <w:rPr>
                <w:b/>
                <w:sz w:val="21"/>
                <w:szCs w:val="21"/>
              </w:rPr>
              <w:t>563,0 / 7,2%</w:t>
            </w:r>
          </w:p>
        </w:tc>
        <w:tc>
          <w:tcPr>
            <w:tcW w:w="1191" w:type="dxa"/>
            <w:vAlign w:val="center"/>
          </w:tcPr>
          <w:p w:rsidR="00023CD6" w:rsidRPr="008C19E7" w:rsidRDefault="00023CD6" w:rsidP="00BE7D9D">
            <w:pPr>
              <w:jc w:val="center"/>
              <w:rPr>
                <w:b/>
                <w:sz w:val="21"/>
                <w:szCs w:val="21"/>
              </w:rPr>
            </w:pPr>
            <w:r w:rsidRPr="008C19E7">
              <w:rPr>
                <w:b/>
                <w:sz w:val="21"/>
                <w:szCs w:val="21"/>
              </w:rPr>
              <w:t xml:space="preserve">3500,4 / </w:t>
            </w:r>
            <w:r w:rsidR="008C19E7" w:rsidRPr="008C19E7">
              <w:rPr>
                <w:b/>
                <w:sz w:val="21"/>
                <w:szCs w:val="21"/>
              </w:rPr>
              <w:t>41,8%</w:t>
            </w:r>
          </w:p>
        </w:tc>
      </w:tr>
    </w:tbl>
    <w:p w:rsidR="004A13B7" w:rsidRPr="0029403D" w:rsidRDefault="004A13B7" w:rsidP="008C19E7">
      <w:pPr>
        <w:spacing w:before="120"/>
        <w:ind w:firstLine="567"/>
        <w:jc w:val="both"/>
      </w:pPr>
      <w:r w:rsidRPr="0029403D">
        <w:rPr>
          <w:b/>
        </w:rPr>
        <w:t xml:space="preserve">По разделу 01 «Общегосударственные вопросы» </w:t>
      </w:r>
      <w:r w:rsidRPr="0029403D">
        <w:t xml:space="preserve">расходы в </w:t>
      </w:r>
      <w:r w:rsidR="001043B8">
        <w:t>2015</w:t>
      </w:r>
      <w:r w:rsidRPr="0029403D">
        <w:t xml:space="preserve"> году </w:t>
      </w:r>
      <w:r w:rsidR="002D3343" w:rsidRPr="0029403D">
        <w:t>исполнены</w:t>
      </w:r>
      <w:r w:rsidRPr="0029403D">
        <w:t xml:space="preserve"> в объёме </w:t>
      </w:r>
      <w:r w:rsidR="008C19E7">
        <w:t>1994,5</w:t>
      </w:r>
      <w:r w:rsidRPr="0029403D">
        <w:t> тыс. руб.</w:t>
      </w:r>
      <w:r w:rsidR="00A915EB" w:rsidRPr="0029403D">
        <w:t xml:space="preserve"> или </w:t>
      </w:r>
      <w:r w:rsidR="00574FF0">
        <w:t>100,0</w:t>
      </w:r>
      <w:r w:rsidR="00A915EB" w:rsidRPr="0029403D">
        <w:t>%</w:t>
      </w:r>
      <w:r w:rsidR="00695ACA" w:rsidRPr="0029403D">
        <w:t xml:space="preserve"> к плану</w:t>
      </w:r>
      <w:r w:rsidR="007C1C8A" w:rsidRPr="0029403D">
        <w:t>.</w:t>
      </w:r>
      <w:r w:rsidR="002619DE" w:rsidRPr="0029403D">
        <w:t xml:space="preserve"> Удельный вес раздела в расходах бюджета с</w:t>
      </w:r>
      <w:r w:rsidR="002619DE" w:rsidRPr="0029403D">
        <w:t>о</w:t>
      </w:r>
      <w:r w:rsidR="002619DE" w:rsidRPr="0029403D">
        <w:t xml:space="preserve">ставил </w:t>
      </w:r>
      <w:r w:rsidR="00574FF0">
        <w:t>16,8</w:t>
      </w:r>
      <w:r w:rsidR="002619DE" w:rsidRPr="0029403D">
        <w:t>%.</w:t>
      </w:r>
    </w:p>
    <w:p w:rsidR="00574FF0" w:rsidRPr="00574FF0" w:rsidRDefault="00574FF0" w:rsidP="00574FF0">
      <w:pPr>
        <w:spacing w:before="60"/>
        <w:ind w:firstLine="567"/>
        <w:jc w:val="both"/>
        <w:rPr>
          <w:b/>
          <w:i/>
        </w:rPr>
      </w:pPr>
      <w:r w:rsidRPr="00574FF0">
        <w:t>При анализе исполнения местного бюджета за 2014 год установлено, что расходы на содержание главы муниципального образования в объёме 555167,3 руб. не соответствуют нормативу 464285 руб., установленному постановлением администрации Новосибирской о</w:t>
      </w:r>
      <w:r w:rsidRPr="00574FF0">
        <w:t>б</w:t>
      </w:r>
      <w:r w:rsidRPr="00574FF0">
        <w:t>ласти от 28.12.2007 № 206-па. Превышение 90,9 тыс. руб.</w:t>
      </w:r>
      <w:r w:rsidRPr="00574FF0">
        <w:rPr>
          <w:b/>
          <w:i/>
        </w:rPr>
        <w:t xml:space="preserve"> Тем самым нарушен пункт 2 статьи 136 БК РФ.</w:t>
      </w:r>
    </w:p>
    <w:p w:rsidR="00645788" w:rsidRPr="00E50D4D" w:rsidRDefault="00645788" w:rsidP="00645788">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574FF0" w:rsidRPr="00E50D4D" w:rsidRDefault="00574FF0" w:rsidP="00574FF0">
      <w:pPr>
        <w:spacing w:before="40"/>
        <w:ind w:firstLine="567"/>
        <w:jc w:val="both"/>
      </w:pPr>
      <w:proofErr w:type="gramStart"/>
      <w:r>
        <w:t xml:space="preserve">Фактические расходы составляют 1328,7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Pr>
          <w:spacing w:val="-2"/>
        </w:rPr>
        <w:t>165,0</w:t>
      </w:r>
      <w:r w:rsidRPr="00E50D4D">
        <w:rPr>
          <w:spacing w:val="-2"/>
        </w:rPr>
        <w:t xml:space="preserve"> тыс. руб.</w:t>
      </w:r>
      <w:r>
        <w:rPr>
          <w:spacing w:val="-2"/>
        </w:rPr>
        <w:t>, а также расходы, связанные с передачей полномочий муниципальному району, в сумме 33,2 тыс. руб.</w:t>
      </w:r>
      <w:r w:rsidRPr="00E50D4D">
        <w:rPr>
          <w:spacing w:val="-2"/>
        </w:rPr>
        <w:t xml:space="preserve"> </w:t>
      </w:r>
      <w:r w:rsidRPr="00E50D4D">
        <w:t xml:space="preserve">Норматив – </w:t>
      </w:r>
      <w:r>
        <w:t>1113,0</w:t>
      </w:r>
      <w:r w:rsidRPr="00E50D4D">
        <w:t xml:space="preserve"> тыс. руб. (</w:t>
      </w:r>
      <w:r>
        <w:t>435</w:t>
      </w:r>
      <w:r w:rsidRPr="00E50D4D">
        <w:t xml:space="preserve"> человек * </w:t>
      </w:r>
      <w:r>
        <w:t>2558</w:t>
      </w:r>
      <w:r w:rsidRPr="00E50D4D">
        <w:t>,</w:t>
      </w:r>
      <w:r>
        <w:t>7</w:t>
      </w:r>
      <w:r w:rsidRPr="00E50D4D">
        <w:t xml:space="preserve"> руб.).</w:t>
      </w:r>
      <w:proofErr w:type="gramEnd"/>
      <w:r w:rsidRPr="00290054">
        <w:rPr>
          <w:spacing w:val="-2"/>
        </w:rPr>
        <w:t xml:space="preserve"> </w:t>
      </w:r>
      <w:r>
        <w:rPr>
          <w:spacing w:val="-2"/>
        </w:rPr>
        <w:t xml:space="preserve">Значит, 1328,7-1113,0-165,0-33,2=17,5 тыс. руб. Следовательно, превышение норматива составляет 17,5 тыс. руб. </w:t>
      </w:r>
      <w:r w:rsidRPr="00476024">
        <w:rPr>
          <w:b/>
          <w:i/>
          <w:spacing w:val="-2"/>
        </w:rPr>
        <w:t>Тем с</w:t>
      </w:r>
      <w:r w:rsidRPr="00476024">
        <w:rPr>
          <w:b/>
          <w:i/>
          <w:spacing w:val="-2"/>
        </w:rPr>
        <w:t>а</w:t>
      </w:r>
      <w:r w:rsidRPr="00476024">
        <w:rPr>
          <w:b/>
          <w:i/>
          <w:spacing w:val="-2"/>
        </w:rPr>
        <w:t>мым нарушен пункт 2 статьи 136 БК РФ.</w:t>
      </w:r>
    </w:p>
    <w:p w:rsidR="0055464B" w:rsidRPr="00BD6D11" w:rsidRDefault="00CC009C" w:rsidP="0055464B">
      <w:pPr>
        <w:spacing w:before="40"/>
        <w:ind w:firstLine="567"/>
        <w:jc w:val="both"/>
        <w:rPr>
          <w:i/>
          <w:spacing w:val="-4"/>
          <w:sz w:val="20"/>
          <w:szCs w:val="20"/>
        </w:rPr>
      </w:pPr>
      <w:r w:rsidRPr="00BD6D11">
        <w:rPr>
          <w:i/>
          <w:color w:val="000000"/>
          <w:spacing w:val="-4"/>
          <w:sz w:val="20"/>
          <w:szCs w:val="20"/>
        </w:rPr>
        <w:t xml:space="preserve">Для расчёта норматива использована численность населения </w:t>
      </w:r>
      <w:r w:rsidR="00BD6D11" w:rsidRPr="00BD6D11">
        <w:rPr>
          <w:i/>
          <w:color w:val="000000"/>
          <w:spacing w:val="-4"/>
          <w:sz w:val="20"/>
          <w:szCs w:val="20"/>
        </w:rPr>
        <w:t xml:space="preserve">по данным органа статистики на </w:t>
      </w:r>
      <w:r w:rsidRPr="00BD6D11">
        <w:rPr>
          <w:i/>
          <w:color w:val="000000"/>
          <w:spacing w:val="-4"/>
          <w:sz w:val="20"/>
          <w:szCs w:val="20"/>
        </w:rPr>
        <w:t xml:space="preserve"> 01.01.</w:t>
      </w:r>
      <w:r w:rsidR="001043B8">
        <w:rPr>
          <w:i/>
          <w:color w:val="000000"/>
          <w:spacing w:val="-4"/>
          <w:sz w:val="20"/>
          <w:szCs w:val="20"/>
        </w:rPr>
        <w:t>2015</w:t>
      </w:r>
      <w:r w:rsidRPr="00BD6D11">
        <w:rPr>
          <w:i/>
          <w:color w:val="000000"/>
          <w:spacing w:val="-4"/>
          <w:sz w:val="20"/>
          <w:szCs w:val="20"/>
        </w:rPr>
        <w:t xml:space="preserve"> – </w:t>
      </w:r>
      <w:r w:rsidR="00574FF0">
        <w:rPr>
          <w:i/>
          <w:color w:val="000000"/>
          <w:spacing w:val="-4"/>
          <w:sz w:val="20"/>
          <w:szCs w:val="20"/>
        </w:rPr>
        <w:t>435</w:t>
      </w:r>
      <w:r w:rsidRPr="00BD6D11">
        <w:rPr>
          <w:i/>
          <w:color w:val="000000"/>
          <w:spacing w:val="-4"/>
          <w:sz w:val="20"/>
          <w:szCs w:val="20"/>
        </w:rPr>
        <w:t xml:space="preserve"> человек</w:t>
      </w:r>
      <w:r w:rsidR="0055464B" w:rsidRPr="00BD6D11">
        <w:rPr>
          <w:i/>
          <w:color w:val="000000"/>
          <w:spacing w:val="-4"/>
          <w:sz w:val="20"/>
          <w:szCs w:val="20"/>
        </w:rPr>
        <w:t xml:space="preserve"> согласно</w:t>
      </w:r>
      <w:r w:rsidR="0055464B" w:rsidRPr="00BD6D11">
        <w:rPr>
          <w:i/>
          <w:spacing w:val="-4"/>
          <w:sz w:val="20"/>
          <w:szCs w:val="20"/>
        </w:rPr>
        <w:t xml:space="preserve"> постановлению администрации Новосибирской области от 28.12.2007 № 206-па.</w:t>
      </w:r>
    </w:p>
    <w:p w:rsidR="004A13B7" w:rsidRPr="0029403D" w:rsidRDefault="004A13B7" w:rsidP="00574FF0">
      <w:pPr>
        <w:spacing w:before="60"/>
        <w:ind w:firstLine="567"/>
        <w:jc w:val="both"/>
      </w:pPr>
      <w:r w:rsidRPr="0029403D">
        <w:rPr>
          <w:b/>
        </w:rPr>
        <w:t xml:space="preserve">По разделу 02 «Национальная оборона» </w:t>
      </w:r>
      <w:r w:rsidR="00C800CC" w:rsidRPr="0029403D">
        <w:t xml:space="preserve">расходы в </w:t>
      </w:r>
      <w:r w:rsidR="001043B8">
        <w:t>2015</w:t>
      </w:r>
      <w:r w:rsidR="00C800CC" w:rsidRPr="0029403D">
        <w:t xml:space="preserve"> году исполнены в объёме </w:t>
      </w:r>
      <w:r w:rsidR="00574FF0">
        <w:t>77,4</w:t>
      </w:r>
      <w:r w:rsidR="00C800CC" w:rsidRPr="0029403D">
        <w:t> тыс. руб. или 100% к плану.</w:t>
      </w:r>
      <w:r w:rsidR="00F34DB4" w:rsidRPr="0029403D">
        <w:t xml:space="preserve"> Удельный вес раздела</w:t>
      </w:r>
      <w:r w:rsidR="003068E9">
        <w:t xml:space="preserve"> в расходах бюджета составил 0,</w:t>
      </w:r>
      <w:r w:rsidR="00574FF0">
        <w:t>7</w:t>
      </w:r>
      <w:r w:rsidR="00F34DB4" w:rsidRPr="0029403D">
        <w:t>%.</w:t>
      </w:r>
    </w:p>
    <w:p w:rsidR="003068E9" w:rsidRDefault="003068E9" w:rsidP="00574FF0">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1043B8">
        <w:t>2015</w:t>
      </w:r>
      <w:r w:rsidRPr="0029403D">
        <w:t xml:space="preserve"> году исполнены в объёме </w:t>
      </w:r>
      <w:r w:rsidR="004A20AF">
        <w:t>3456,5</w:t>
      </w:r>
      <w:r w:rsidR="004A20AF">
        <w:tab/>
      </w:r>
      <w:r w:rsidRPr="0029403D">
        <w:t xml:space="preserve"> тыс. руб. или </w:t>
      </w:r>
      <w:r w:rsidR="004A20AF">
        <w:t>97,6</w:t>
      </w:r>
      <w:r>
        <w:t>%</w:t>
      </w:r>
      <w:r w:rsidRPr="0029403D">
        <w:t xml:space="preserve"> к плану</w:t>
      </w:r>
      <w:r w:rsidR="004A20AF">
        <w:t xml:space="preserve"> </w:t>
      </w:r>
      <w:r w:rsidR="004A20AF" w:rsidRPr="0029403D">
        <w:t>(</w:t>
      </w:r>
      <w:r w:rsidR="004A20AF">
        <w:t>не</w:t>
      </w:r>
      <w:r w:rsidR="008B6FE6">
        <w:t>до</w:t>
      </w:r>
      <w:r w:rsidR="004A20AF">
        <w:t>исполн</w:t>
      </w:r>
      <w:r w:rsidR="004A20AF">
        <w:t>е</w:t>
      </w:r>
      <w:r w:rsidR="004A20AF">
        <w:t>ние</w:t>
      </w:r>
      <w:r w:rsidR="004A20AF" w:rsidRPr="0029403D">
        <w:t xml:space="preserve"> – </w:t>
      </w:r>
      <w:r w:rsidR="004A20AF">
        <w:t>83,2</w:t>
      </w:r>
      <w:r w:rsidR="004A20AF" w:rsidRPr="0029403D">
        <w:t xml:space="preserve"> тыс. руб.).</w:t>
      </w:r>
      <w:r w:rsidR="004A20AF">
        <w:t xml:space="preserve"> </w:t>
      </w:r>
      <w:r w:rsidRPr="0029403D">
        <w:t xml:space="preserve">Удельный вес раздела в расходах бюджета составил </w:t>
      </w:r>
      <w:r w:rsidR="004A20AF">
        <w:t>29,1</w:t>
      </w:r>
      <w:r w:rsidRPr="0029403D">
        <w:t>%.</w:t>
      </w:r>
    </w:p>
    <w:p w:rsidR="004A20AF" w:rsidRPr="0029403D" w:rsidRDefault="004A20AF" w:rsidP="004A20AF">
      <w:pPr>
        <w:spacing w:before="40"/>
        <w:ind w:firstLine="567"/>
        <w:jc w:val="both"/>
      </w:pPr>
      <w:r>
        <w:t>Согласно пояснительной записке увеличение расходов по данному разделу по отнош</w:t>
      </w:r>
      <w:r>
        <w:t>е</w:t>
      </w:r>
      <w:r>
        <w:t xml:space="preserve">нию к 2014 году связано со строительством водозаборной скважины в п. </w:t>
      </w:r>
      <w:proofErr w:type="spellStart"/>
      <w:r>
        <w:t>Натальинский</w:t>
      </w:r>
      <w:proofErr w:type="spellEnd"/>
      <w:r>
        <w:t>.</w:t>
      </w:r>
    </w:p>
    <w:p w:rsidR="004A20AF" w:rsidRDefault="003068E9" w:rsidP="00574FF0">
      <w:pPr>
        <w:spacing w:before="60"/>
        <w:ind w:firstLine="567"/>
        <w:jc w:val="both"/>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1043B8">
        <w:t>2015</w:t>
      </w:r>
      <w:r w:rsidRPr="0029403D">
        <w:t xml:space="preserve"> году исполнены в объёме </w:t>
      </w:r>
      <w:r w:rsidR="004A20AF">
        <w:t>118,7</w:t>
      </w:r>
      <w:r w:rsidRPr="0029403D">
        <w:t xml:space="preserve"> тыс. руб. или </w:t>
      </w:r>
      <w:r w:rsidR="004A20AF">
        <w:t>74,2</w:t>
      </w:r>
      <w:r w:rsidR="006F10F8">
        <w:t>%</w:t>
      </w:r>
      <w:r w:rsidR="006F10F8" w:rsidRPr="0029403D">
        <w:t xml:space="preserve"> к плану</w:t>
      </w:r>
      <w:r w:rsidR="004A20AF">
        <w:t xml:space="preserve"> </w:t>
      </w:r>
      <w:r w:rsidR="004A20AF" w:rsidRPr="0029403D">
        <w:t>(</w:t>
      </w:r>
      <w:r w:rsidR="004A20AF">
        <w:t>не</w:t>
      </w:r>
      <w:r w:rsidR="008B6FE6">
        <w:t>до</w:t>
      </w:r>
      <w:r w:rsidR="004A20AF">
        <w:t>исполнение</w:t>
      </w:r>
      <w:r w:rsidR="004A20AF" w:rsidRPr="0029403D">
        <w:t xml:space="preserve"> – </w:t>
      </w:r>
      <w:r w:rsidR="004A20AF">
        <w:t>41,3</w:t>
      </w:r>
      <w:r w:rsidR="004A20AF" w:rsidRPr="0029403D">
        <w:t xml:space="preserve"> тыс. руб.).</w:t>
      </w:r>
      <w:r w:rsidR="004A20AF">
        <w:t xml:space="preserve"> </w:t>
      </w:r>
      <w:r w:rsidRPr="0029403D">
        <w:t xml:space="preserve">Удельный вес раздела в расходах бюджета составил </w:t>
      </w:r>
      <w:r w:rsidR="004A20AF">
        <w:t>1,0</w:t>
      </w:r>
      <w:r w:rsidRPr="0029403D">
        <w:t>%</w:t>
      </w:r>
    </w:p>
    <w:p w:rsidR="004A20AF" w:rsidRDefault="004A20AF" w:rsidP="004A20AF">
      <w:pPr>
        <w:spacing w:before="40"/>
        <w:ind w:firstLine="567"/>
        <w:jc w:val="both"/>
        <w:rPr>
          <w:i/>
          <w:spacing w:val="-4"/>
        </w:rPr>
      </w:pPr>
      <w:r w:rsidRPr="00691366">
        <w:rPr>
          <w:i/>
          <w:spacing w:val="-4"/>
        </w:rPr>
        <w:lastRenderedPageBreak/>
        <w:t>Ревизионная комиссия отмечает</w:t>
      </w:r>
      <w:r>
        <w:rPr>
          <w:i/>
          <w:spacing w:val="-4"/>
        </w:rPr>
        <w:t xml:space="preserve"> следующее:</w:t>
      </w:r>
    </w:p>
    <w:p w:rsidR="004A20AF" w:rsidRPr="0067446F" w:rsidRDefault="004A20AF" w:rsidP="004A20AF">
      <w:pPr>
        <w:spacing w:before="40"/>
        <w:ind w:firstLine="567"/>
        <w:jc w:val="both"/>
        <w:rPr>
          <w:b/>
          <w:i/>
        </w:rPr>
      </w:pPr>
      <w:proofErr w:type="gramStart"/>
      <w:r w:rsidRPr="00C821D9">
        <w:t>1) уточнённые бюджетные назна</w:t>
      </w:r>
      <w:r>
        <w:t>чения по разделу/подразделу 0409 «</w:t>
      </w:r>
      <w:r w:rsidRPr="00C821D9">
        <w:t>Дорожное хозя</w:t>
      </w:r>
      <w:r w:rsidRPr="00C821D9">
        <w:t>й</w:t>
      </w:r>
      <w:r w:rsidRPr="00C821D9">
        <w:t>ство (дорожные фонды)</w:t>
      </w:r>
      <w:r>
        <w:t xml:space="preserve">» составляют 160,0 тыс. руб., что меньше </w:t>
      </w:r>
      <w:r w:rsidRPr="00C821D9">
        <w:t>уточнённы</w:t>
      </w:r>
      <w:r>
        <w:t>х</w:t>
      </w:r>
      <w:r w:rsidRPr="00C821D9">
        <w:t xml:space="preserve"> бюджетны</w:t>
      </w:r>
      <w:r>
        <w:t>х</w:t>
      </w:r>
      <w:r w:rsidRPr="00C821D9">
        <w:t xml:space="preserve"> назна</w:t>
      </w:r>
      <w:r>
        <w:t xml:space="preserve">чений по КБК </w:t>
      </w:r>
      <w:r w:rsidR="004B573E">
        <w:t>294</w:t>
      </w:r>
      <w:r w:rsidRPr="00C821D9">
        <w:t xml:space="preserve"> 1 03 02000 01 0000 110</w:t>
      </w:r>
      <w:r>
        <w:t xml:space="preserve"> «</w:t>
      </w:r>
      <w:r w:rsidRPr="00C821D9">
        <w:t>Акцизы по подакцизным товарам (проду</w:t>
      </w:r>
      <w:r w:rsidRPr="00C821D9">
        <w:t>к</w:t>
      </w:r>
      <w:r w:rsidRPr="00C821D9">
        <w:t>ции), производимым на территории Российской Федерации</w:t>
      </w:r>
      <w:r>
        <w:t xml:space="preserve">» в сумме 250,9 тыс. руб., </w:t>
      </w:r>
      <w:r w:rsidRPr="002D21E9">
        <w:rPr>
          <w:b/>
          <w:i/>
        </w:rPr>
        <w:t>т</w:t>
      </w:r>
      <w:r w:rsidRPr="0067446F">
        <w:rPr>
          <w:b/>
          <w:i/>
        </w:rPr>
        <w:t>ем самым нарушен пункт 5 статьи 179.4 БК РФ:</w:t>
      </w:r>
      <w:proofErr w:type="gramEnd"/>
    </w:p>
    <w:p w:rsidR="004A20AF" w:rsidRPr="0067446F" w:rsidRDefault="004A20AF" w:rsidP="004A20AF">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w:t>
      </w:r>
      <w:proofErr w:type="gramStart"/>
      <w:r w:rsidRPr="0067446F">
        <w:rPr>
          <w:rFonts w:ascii="Times New Roman" w:hAnsi="Times New Roman" w:cs="Times New Roman"/>
          <w:i/>
        </w:rPr>
        <w:t>от</w:t>
      </w:r>
      <w:proofErr w:type="gramEnd"/>
      <w:r w:rsidRPr="0067446F">
        <w:rPr>
          <w:rFonts w:ascii="Times New Roman" w:hAnsi="Times New Roman" w:cs="Times New Roman"/>
          <w:i/>
        </w:rPr>
        <w:t>:</w:t>
      </w:r>
    </w:p>
    <w:p w:rsidR="004A20AF" w:rsidRPr="0067446F" w:rsidRDefault="004A20AF" w:rsidP="004A20AF">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w:t>
      </w:r>
      <w:proofErr w:type="spellStart"/>
      <w:r w:rsidRPr="0067446F">
        <w:rPr>
          <w:rFonts w:ascii="Times New Roman" w:hAnsi="Times New Roman" w:cs="Times New Roman"/>
          <w:i/>
        </w:rPr>
        <w:t>инжекторных</w:t>
      </w:r>
      <w:proofErr w:type="spellEnd"/>
      <w:r w:rsidRPr="0067446F">
        <w:rPr>
          <w:rFonts w:ascii="Times New Roman" w:hAnsi="Times New Roman" w:cs="Times New Roman"/>
          <w:i/>
        </w:rPr>
        <w:t>) двигателей, производимые на территории Российской Федерации, подлежащих зачислению в местный бюджет;</w:t>
      </w:r>
    </w:p>
    <w:p w:rsidR="004A20AF" w:rsidRDefault="004A20AF" w:rsidP="004A20AF">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4A20AF" w:rsidRDefault="004A20AF" w:rsidP="004A20AF">
      <w:pPr>
        <w:autoSpaceDE w:val="0"/>
        <w:autoSpaceDN w:val="0"/>
        <w:adjustRightInd w:val="0"/>
        <w:spacing w:before="40"/>
        <w:ind w:firstLine="540"/>
        <w:jc w:val="both"/>
        <w:rPr>
          <w:b/>
          <w:i/>
        </w:rPr>
      </w:pPr>
      <w:proofErr w:type="gramStart"/>
      <w:r>
        <w:t>2) исполнение по разделу/подразделу 0409 «</w:t>
      </w:r>
      <w:r w:rsidRPr="00C821D9">
        <w:t>Дорожное хозяйство (дорожные фонды)</w:t>
      </w:r>
      <w:r>
        <w:t xml:space="preserve">» составляет 118,7 тыс. руб., что меньше </w:t>
      </w:r>
      <w:r w:rsidR="002171C1" w:rsidRPr="00C821D9">
        <w:t>уточнённы</w:t>
      </w:r>
      <w:r w:rsidR="002171C1">
        <w:t>х</w:t>
      </w:r>
      <w:r w:rsidR="002171C1" w:rsidRPr="00C821D9">
        <w:t xml:space="preserve"> бюджетны</w:t>
      </w:r>
      <w:r w:rsidR="002171C1">
        <w:t>х</w:t>
      </w:r>
      <w:r w:rsidR="002171C1" w:rsidRPr="00C821D9">
        <w:t xml:space="preserve"> назна</w:t>
      </w:r>
      <w:r w:rsidR="002171C1">
        <w:t xml:space="preserve">чений </w:t>
      </w:r>
      <w:r>
        <w:t xml:space="preserve">по КБК </w:t>
      </w:r>
      <w:r w:rsidR="004B573E">
        <w:t>294</w:t>
      </w:r>
      <w:r w:rsidRPr="00C821D9">
        <w:t xml:space="preserve"> 1 03 02000 01 0000 110</w:t>
      </w:r>
      <w:r>
        <w:t xml:space="preserve"> «</w:t>
      </w:r>
      <w:r w:rsidRPr="00C821D9">
        <w:t>Акцизы по подакцизным товарам (продукции), производимым на терр</w:t>
      </w:r>
      <w:r w:rsidRPr="00C821D9">
        <w:t>и</w:t>
      </w:r>
      <w:r w:rsidRPr="00C821D9">
        <w:t>тории Российской Федерации</w:t>
      </w:r>
      <w:r>
        <w:t xml:space="preserve">» в сумме </w:t>
      </w:r>
      <w:r w:rsidR="002171C1">
        <w:t xml:space="preserve">250,9 </w:t>
      </w:r>
      <w:r>
        <w:t xml:space="preserve">тыс. руб., разница в сумме </w:t>
      </w:r>
      <w:r w:rsidR="002171C1" w:rsidRPr="002171C1">
        <w:t xml:space="preserve">132,2 </w:t>
      </w:r>
      <w:r>
        <w:t>тыс. руб. должна быть направлена на увеличение бюджетных ассигнований муниципального доро</w:t>
      </w:r>
      <w:r>
        <w:t>ж</w:t>
      </w:r>
      <w:r>
        <w:t>ного фонда в</w:t>
      </w:r>
      <w:proofErr w:type="gramEnd"/>
      <w:r>
        <w:t xml:space="preserve"> 2016 году в соответствие </w:t>
      </w:r>
      <w:r w:rsidRPr="0067446F">
        <w:rPr>
          <w:b/>
          <w:i/>
        </w:rPr>
        <w:t>пункт</w:t>
      </w:r>
      <w:r>
        <w:rPr>
          <w:b/>
          <w:i/>
        </w:rPr>
        <w:t>у</w:t>
      </w:r>
      <w:r w:rsidRPr="0067446F">
        <w:rPr>
          <w:b/>
          <w:i/>
        </w:rPr>
        <w:t xml:space="preserve"> 5 статьи 179.4 БК РФ:</w:t>
      </w:r>
    </w:p>
    <w:p w:rsidR="004A20AF" w:rsidRDefault="004A20AF" w:rsidP="004A20AF">
      <w:pPr>
        <w:autoSpaceDE w:val="0"/>
        <w:autoSpaceDN w:val="0"/>
        <w:adjustRightInd w:val="0"/>
        <w:spacing w:before="40"/>
        <w:ind w:firstLine="540"/>
        <w:jc w:val="both"/>
        <w:rPr>
          <w:i/>
          <w:iCs/>
          <w:sz w:val="20"/>
          <w:szCs w:val="20"/>
        </w:rPr>
      </w:pPr>
      <w:r w:rsidRPr="002D21E9">
        <w:rPr>
          <w:b/>
          <w:i/>
          <w:sz w:val="20"/>
          <w:szCs w:val="20"/>
        </w:rPr>
        <w:t>«</w:t>
      </w:r>
      <w:r w:rsidRPr="002D21E9">
        <w:rPr>
          <w:i/>
          <w:iCs/>
          <w:sz w:val="20"/>
          <w:szCs w:val="20"/>
        </w:rPr>
        <w:t>Бюджетные ассигнования муниципального дорожного фонда, не использованные в текущем финанс</w:t>
      </w:r>
      <w:r w:rsidRPr="002D21E9">
        <w:rPr>
          <w:i/>
          <w:iCs/>
          <w:sz w:val="20"/>
          <w:szCs w:val="20"/>
        </w:rPr>
        <w:t>о</w:t>
      </w:r>
      <w:r w:rsidRPr="002D21E9">
        <w:rPr>
          <w:i/>
          <w:iCs/>
          <w:sz w:val="20"/>
          <w:szCs w:val="20"/>
        </w:rPr>
        <w:t>вом году, направляются на увеличение бюджетных ассигнований муниципального дорожного фонда в очере</w:t>
      </w:r>
      <w:r w:rsidRPr="002D21E9">
        <w:rPr>
          <w:i/>
          <w:iCs/>
          <w:sz w:val="20"/>
          <w:szCs w:val="20"/>
        </w:rPr>
        <w:t>д</w:t>
      </w:r>
      <w:r w:rsidRPr="002D21E9">
        <w:rPr>
          <w:i/>
          <w:iCs/>
          <w:sz w:val="20"/>
          <w:szCs w:val="20"/>
        </w:rPr>
        <w:t>ном фина</w:t>
      </w:r>
      <w:r>
        <w:rPr>
          <w:i/>
          <w:iCs/>
          <w:sz w:val="20"/>
          <w:szCs w:val="20"/>
        </w:rPr>
        <w:t>нсовом году».</w:t>
      </w:r>
    </w:p>
    <w:p w:rsidR="004A13B7" w:rsidRPr="0029403D" w:rsidRDefault="004A13B7" w:rsidP="00574FF0">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1043B8">
        <w:t>2015</w:t>
      </w:r>
      <w:r w:rsidR="00C800CC" w:rsidRPr="0029403D">
        <w:t xml:space="preserve"> году исполнены в объёме </w:t>
      </w:r>
      <w:r w:rsidR="00A70F4C">
        <w:t>1804,0</w:t>
      </w:r>
      <w:r w:rsidR="00C800CC" w:rsidRPr="0029403D">
        <w:t xml:space="preserve"> тыс. руб. или </w:t>
      </w:r>
      <w:r w:rsidR="00A70F4C">
        <w:t>98,4</w:t>
      </w:r>
      <w:r w:rsidR="006F10F8" w:rsidRPr="0029403D">
        <w:t>% к плану</w:t>
      </w:r>
      <w:r w:rsidR="006F10F8">
        <w:t xml:space="preserve"> </w:t>
      </w:r>
      <w:r w:rsidR="006F10F8" w:rsidRPr="0029403D">
        <w:t>(</w:t>
      </w:r>
      <w:r w:rsidR="006F10F8">
        <w:t>не</w:t>
      </w:r>
      <w:r w:rsidR="00F128D5">
        <w:t>до</w:t>
      </w:r>
      <w:r w:rsidR="006F10F8">
        <w:t>исполнение</w:t>
      </w:r>
      <w:r w:rsidR="006F10F8" w:rsidRPr="0029403D">
        <w:t xml:space="preserve"> – </w:t>
      </w:r>
      <w:r w:rsidR="00A70F4C">
        <w:t>29,1</w:t>
      </w:r>
      <w:r w:rsidR="006F10F8" w:rsidRPr="0029403D">
        <w:t xml:space="preserve"> тыс. руб.).</w:t>
      </w:r>
      <w:r w:rsidR="006F10F8">
        <w:t xml:space="preserve"> </w:t>
      </w:r>
      <w:r w:rsidR="00F34DB4" w:rsidRPr="0029403D">
        <w:t xml:space="preserve">Удельный вес раздела в расходах бюджета составил </w:t>
      </w:r>
      <w:r w:rsidR="00A70F4C">
        <w:t>15,2</w:t>
      </w:r>
      <w:r w:rsidR="00F34DB4" w:rsidRPr="0029403D">
        <w:t>%</w:t>
      </w:r>
      <w:r w:rsidR="006F10F8">
        <w:t>.</w:t>
      </w:r>
    </w:p>
    <w:p w:rsidR="00A70F4C" w:rsidRDefault="00A70F4C" w:rsidP="00A70F4C">
      <w:pPr>
        <w:spacing w:before="40"/>
        <w:ind w:firstLine="567"/>
        <w:jc w:val="both"/>
      </w:pPr>
      <w:r>
        <w:t>Согласно пояснительной записке по данному разделу производились расходы на с</w:t>
      </w:r>
      <w:r>
        <w:t>о</w:t>
      </w:r>
      <w:r>
        <w:t>держание коммунального хозяйства (1615,5 тыс. руб.) и благоустройство территории посел</w:t>
      </w:r>
      <w:r>
        <w:t>е</w:t>
      </w:r>
      <w:r>
        <w:t>ния (188,5 тыс. руб.).</w:t>
      </w:r>
    </w:p>
    <w:p w:rsidR="009262CF" w:rsidRPr="00A70F4C" w:rsidRDefault="004A13B7" w:rsidP="00A70F4C">
      <w:pPr>
        <w:spacing w:before="60"/>
        <w:ind w:firstLine="567"/>
        <w:jc w:val="both"/>
        <w:rPr>
          <w:i/>
        </w:rPr>
      </w:pPr>
      <w:r w:rsidRPr="0029403D">
        <w:rPr>
          <w:b/>
        </w:rPr>
        <w:t>По разделу 08 «Культура, кинематография»</w:t>
      </w:r>
      <w:r w:rsidRPr="0029403D">
        <w:t xml:space="preserve"> </w:t>
      </w:r>
      <w:r w:rsidR="009262CF" w:rsidRPr="0029403D">
        <w:t xml:space="preserve">расходы в </w:t>
      </w:r>
      <w:r w:rsidR="001043B8">
        <w:t>2015</w:t>
      </w:r>
      <w:r w:rsidR="009262CF" w:rsidRPr="0029403D">
        <w:t xml:space="preserve"> году исполнены в объ</w:t>
      </w:r>
      <w:r w:rsidR="009262CF" w:rsidRPr="0029403D">
        <w:t>ё</w:t>
      </w:r>
      <w:r w:rsidR="009262CF" w:rsidRPr="0029403D">
        <w:t xml:space="preserve">ме </w:t>
      </w:r>
      <w:r w:rsidR="00A70F4C">
        <w:t>4404,6</w:t>
      </w:r>
      <w:r w:rsidR="009262CF" w:rsidRPr="0029403D">
        <w:t xml:space="preserve"> тыс. руб. или </w:t>
      </w:r>
      <w:r w:rsidR="00A70F4C">
        <w:t>99,2</w:t>
      </w:r>
      <w:r w:rsidR="009262CF" w:rsidRPr="0029403D">
        <w:t>% к плану</w:t>
      </w:r>
      <w:r w:rsidR="00592AB4">
        <w:t xml:space="preserve"> </w:t>
      </w:r>
      <w:r w:rsidR="00592AB4" w:rsidRPr="0029403D">
        <w:t>(</w:t>
      </w:r>
      <w:r w:rsidR="00592AB4">
        <w:t>не</w:t>
      </w:r>
      <w:r w:rsidR="00F128D5">
        <w:t>до</w:t>
      </w:r>
      <w:r w:rsidR="00592AB4">
        <w:t>исполнение</w:t>
      </w:r>
      <w:r w:rsidR="00592AB4" w:rsidRPr="0029403D">
        <w:t xml:space="preserve"> – </w:t>
      </w:r>
      <w:r w:rsidR="00A70F4C">
        <w:t>35,2</w:t>
      </w:r>
      <w:r w:rsidR="00592AB4" w:rsidRPr="0029403D">
        <w:t xml:space="preserve"> тыс. руб.)</w:t>
      </w:r>
      <w:r w:rsidR="009262CF" w:rsidRPr="0029403D">
        <w:t>.</w:t>
      </w:r>
      <w:r w:rsidR="00F34DB4" w:rsidRPr="0029403D">
        <w:t xml:space="preserve"> </w:t>
      </w:r>
      <w:r w:rsidR="00F34DB4" w:rsidRPr="00A70F4C">
        <w:rPr>
          <w:i/>
        </w:rPr>
        <w:t>Удельный вес ра</w:t>
      </w:r>
      <w:r w:rsidR="00F34DB4" w:rsidRPr="00A70F4C">
        <w:rPr>
          <w:i/>
        </w:rPr>
        <w:t>з</w:t>
      </w:r>
      <w:r w:rsidR="00F34DB4" w:rsidRPr="00A70F4C">
        <w:rPr>
          <w:i/>
        </w:rPr>
        <w:t xml:space="preserve">дела в расходах бюджета составил </w:t>
      </w:r>
      <w:r w:rsidR="00A70F4C" w:rsidRPr="00A70F4C">
        <w:rPr>
          <w:i/>
        </w:rPr>
        <w:t>37,1</w:t>
      </w:r>
      <w:r w:rsidR="00F34DB4" w:rsidRPr="00A70F4C">
        <w:rPr>
          <w:i/>
        </w:rPr>
        <w:t>%.</w:t>
      </w:r>
      <w:r w:rsidR="0053416C" w:rsidRPr="00A70F4C">
        <w:rPr>
          <w:i/>
        </w:rPr>
        <w:t xml:space="preserve"> </w:t>
      </w:r>
    </w:p>
    <w:p w:rsidR="004A13B7" w:rsidRPr="0029403D" w:rsidRDefault="004A13B7" w:rsidP="00592AB4">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1043B8">
        <w:t>2015</w:t>
      </w:r>
      <w:r w:rsidR="009262CF" w:rsidRPr="0029403D">
        <w:t xml:space="preserve"> году исполнены в объёме </w:t>
      </w:r>
      <w:r w:rsidR="00A70F4C">
        <w:t>23,3</w:t>
      </w:r>
      <w:r w:rsidR="009262CF" w:rsidRPr="0029403D">
        <w:t xml:space="preserve"> тыс. руб. или </w:t>
      </w:r>
      <w:r w:rsidR="00A70F4C">
        <w:t>73,5</w:t>
      </w:r>
      <w:r w:rsidR="009262CF" w:rsidRPr="0029403D">
        <w:t>% к плану</w:t>
      </w:r>
      <w:r w:rsidR="00592AB4">
        <w:t xml:space="preserve"> </w:t>
      </w:r>
      <w:r w:rsidR="00592AB4" w:rsidRPr="0029403D">
        <w:t>(</w:t>
      </w:r>
      <w:r w:rsidR="00592AB4">
        <w:t>неисполнение</w:t>
      </w:r>
      <w:r w:rsidR="00592AB4" w:rsidRPr="0029403D">
        <w:t xml:space="preserve"> – </w:t>
      </w:r>
      <w:r w:rsidR="00A70F4C">
        <w:t>8,4</w:t>
      </w:r>
      <w:r w:rsidR="00592AB4" w:rsidRPr="0029403D">
        <w:t xml:space="preserve"> тыс. руб.)</w:t>
      </w:r>
      <w:r w:rsidR="009262CF" w:rsidRPr="0029403D">
        <w:t>.</w:t>
      </w:r>
      <w:r w:rsidR="00F34DB4" w:rsidRPr="0029403D">
        <w:t xml:space="preserve"> Удельный вес раздела в ра</w:t>
      </w:r>
      <w:r w:rsidR="00F34DB4" w:rsidRPr="0029403D">
        <w:t>с</w:t>
      </w:r>
      <w:r w:rsidR="00F34DB4" w:rsidRPr="0029403D">
        <w:t>хо</w:t>
      </w:r>
      <w:r w:rsidR="00A70F4C">
        <w:t>дах бюджета составил 0,2</w:t>
      </w:r>
      <w:r w:rsidR="00F34DB4" w:rsidRPr="0029403D">
        <w:t>%.</w:t>
      </w:r>
    </w:p>
    <w:p w:rsidR="0063708A" w:rsidRPr="0029403D" w:rsidRDefault="00152E13" w:rsidP="009C219D">
      <w:pPr>
        <w:pStyle w:val="1"/>
      </w:pPr>
      <w:r w:rsidRPr="0029403D">
        <w:t>Вывод</w:t>
      </w:r>
      <w:r w:rsidR="0063708A" w:rsidRPr="0029403D">
        <w:t>: годо</w:t>
      </w:r>
      <w:r w:rsidR="009C4093" w:rsidRPr="0029403D">
        <w:t>вой отчёт об исполнении бюджета Верх-Каргатского сельсовета Ка</w:t>
      </w:r>
      <w:r w:rsidR="009C4093" w:rsidRPr="0029403D">
        <w:t>р</w:t>
      </w:r>
      <w:r w:rsidR="009C4093" w:rsidRPr="0029403D">
        <w:t xml:space="preserve">гатского района Новосибирской области за </w:t>
      </w:r>
      <w:r w:rsidR="001043B8">
        <w:t>2015</w:t>
      </w:r>
      <w:r w:rsidR="009C4093" w:rsidRPr="0029403D">
        <w:t xml:space="preserve"> год признать </w:t>
      </w:r>
      <w:r w:rsidR="00A70F4C">
        <w:t>не</w:t>
      </w:r>
      <w:r w:rsidR="009C4093" w:rsidRPr="0029403D">
        <w:t>достоверным.</w:t>
      </w:r>
    </w:p>
    <w:p w:rsidR="006F10F8" w:rsidRPr="00F435AA" w:rsidRDefault="006F10F8" w:rsidP="006F10F8">
      <w:pPr>
        <w:spacing w:before="180" w:after="120"/>
        <w:ind w:firstLine="567"/>
        <w:jc w:val="both"/>
      </w:pPr>
      <w:r w:rsidRPr="00F435AA">
        <w:t>Учитывая изложенное, Ревизионная комиссия предлагает:</w:t>
      </w:r>
    </w:p>
    <w:p w:rsidR="006F10F8" w:rsidRPr="006F10F8" w:rsidRDefault="006F10F8" w:rsidP="006F10F8">
      <w:pPr>
        <w:ind w:firstLine="567"/>
        <w:rPr>
          <w:b/>
          <w:i/>
        </w:rPr>
      </w:pPr>
      <w:r w:rsidRPr="006F10F8">
        <w:rPr>
          <w:b/>
          <w:i/>
        </w:rPr>
        <w:t>Администрации Верх-Каргатского сельсовета:</w:t>
      </w:r>
    </w:p>
    <w:p w:rsidR="005F5499" w:rsidRDefault="00B301BA" w:rsidP="00707B42">
      <w:pPr>
        <w:spacing w:before="60"/>
        <w:ind w:firstLine="567"/>
        <w:jc w:val="both"/>
      </w:pPr>
      <w:r>
        <w:t>1</w:t>
      </w:r>
      <w:r w:rsidR="0060226F" w:rsidRPr="0029403D">
        <w:t>)</w:t>
      </w:r>
      <w:r w:rsidR="005F5499" w:rsidRPr="0029403D">
        <w:t xml:space="preserve"> </w:t>
      </w:r>
      <w:r w:rsidR="0060226F" w:rsidRPr="0029403D">
        <w:t>п</w:t>
      </w:r>
      <w:r w:rsidR="00BC68CF" w:rsidRPr="0029403D">
        <w:t>ри ведении р</w:t>
      </w:r>
      <w:r w:rsidR="005F5499" w:rsidRPr="0029403D">
        <w:t>еестр</w:t>
      </w:r>
      <w:r w:rsidR="00BC68CF" w:rsidRPr="0029403D">
        <w:t>а</w:t>
      </w:r>
      <w:r w:rsidR="005F5499" w:rsidRPr="0029403D">
        <w:t xml:space="preserve"> закупок </w:t>
      </w:r>
      <w:r w:rsidR="00BC68CF" w:rsidRPr="0029403D">
        <w:t>строго следовать</w:t>
      </w:r>
      <w:r w:rsidR="00A14C3F" w:rsidRPr="0029403D">
        <w:t xml:space="preserve"> пункту 2 статьи 73 БК РФ</w:t>
      </w:r>
      <w:r w:rsidR="009C171C">
        <w:t xml:space="preserve"> (</w:t>
      </w:r>
      <w:r w:rsidR="009C171C">
        <w:rPr>
          <w:b/>
          <w:i/>
        </w:rPr>
        <w:t>н</w:t>
      </w:r>
      <w:r w:rsidR="009C171C" w:rsidRPr="001D0CF9">
        <w:rPr>
          <w:b/>
          <w:i/>
        </w:rPr>
        <w:t xml:space="preserve">а </w:t>
      </w:r>
      <w:r w:rsidR="009C171C">
        <w:rPr>
          <w:b/>
          <w:i/>
        </w:rPr>
        <w:t>данное нарушение</w:t>
      </w:r>
      <w:r w:rsidR="009C171C" w:rsidRPr="001D0CF9">
        <w:rPr>
          <w:b/>
          <w:i/>
        </w:rPr>
        <w:t xml:space="preserve"> было указано в экспертном заключении по результатам внешней проверки годового отчёта об исполнении бюджета за </w:t>
      </w:r>
      <w:r w:rsidR="009C171C">
        <w:rPr>
          <w:b/>
          <w:i/>
        </w:rPr>
        <w:t>2014</w:t>
      </w:r>
      <w:r w:rsidR="009C171C" w:rsidRPr="001D0CF9">
        <w:rPr>
          <w:b/>
          <w:i/>
        </w:rPr>
        <w:t xml:space="preserve"> год</w:t>
      </w:r>
      <w:r w:rsidR="009C171C">
        <w:t>);</w:t>
      </w:r>
    </w:p>
    <w:p w:rsidR="00AA4083" w:rsidRPr="00AA4083" w:rsidRDefault="00AA4083" w:rsidP="00AA4083">
      <w:pPr>
        <w:spacing w:before="60"/>
        <w:ind w:firstLine="567"/>
        <w:jc w:val="both"/>
        <w:rPr>
          <w:color w:val="000000"/>
        </w:rPr>
      </w:pPr>
      <w:r>
        <w:t>2</w:t>
      </w:r>
      <w:r w:rsidRPr="00AA4083">
        <w:t>) таблиц</w:t>
      </w:r>
      <w:r w:rsidR="00496095">
        <w:t>а</w:t>
      </w:r>
      <w:r w:rsidRPr="00AA4083">
        <w:t xml:space="preserve"> 7 к пояснительной записке 0503160 должна содержать все данные о вне</w:t>
      </w:r>
      <w:r w:rsidRPr="00AA4083">
        <w:t>ш</w:t>
      </w:r>
      <w:r w:rsidRPr="00AA4083">
        <w:t>них контрольных мероприятиях (</w:t>
      </w:r>
      <w:r w:rsidRPr="00AA4083">
        <w:rPr>
          <w:b/>
          <w:i/>
        </w:rPr>
        <w:t>на данное замечание было указано в экспертном закл</w:t>
      </w:r>
      <w:r w:rsidRPr="00AA4083">
        <w:rPr>
          <w:b/>
          <w:i/>
        </w:rPr>
        <w:t>ю</w:t>
      </w:r>
      <w:r w:rsidRPr="00AA4083">
        <w:rPr>
          <w:b/>
          <w:i/>
        </w:rPr>
        <w:t>чении по результатам внешней проверки годового отчёта об исполнении бюджета за 2014 год</w:t>
      </w:r>
      <w:r w:rsidRPr="00AA4083">
        <w:t>).</w:t>
      </w:r>
    </w:p>
    <w:p w:rsidR="00AA4083" w:rsidRDefault="00AA4083" w:rsidP="00AA4083">
      <w:pPr>
        <w:spacing w:before="60"/>
        <w:ind w:firstLine="567"/>
        <w:jc w:val="both"/>
        <w:rPr>
          <w:spacing w:val="-2"/>
        </w:rPr>
      </w:pPr>
      <w:r>
        <w:rPr>
          <w:spacing w:val="-2"/>
        </w:rPr>
        <w:t>3</w:t>
      </w:r>
      <w:r w:rsidRPr="00F2033E">
        <w:rPr>
          <w:spacing w:val="-2"/>
        </w:rPr>
        <w:t xml:space="preserve">) </w:t>
      </w:r>
      <w:r>
        <w:rPr>
          <w:color w:val="000000"/>
          <w:spacing w:val="-2"/>
        </w:rPr>
        <w:t>формы бюджетной отчётности</w:t>
      </w:r>
      <w:r w:rsidRPr="00F2033E">
        <w:rPr>
          <w:spacing w:val="-2"/>
        </w:rPr>
        <w:t xml:space="preserve"> </w:t>
      </w:r>
      <w:r>
        <w:rPr>
          <w:spacing w:val="-2"/>
        </w:rPr>
        <w:t>(</w:t>
      </w:r>
      <w:r w:rsidRPr="00FE740F">
        <w:rPr>
          <w:spacing w:val="-2"/>
        </w:rPr>
        <w:t>0503164</w:t>
      </w:r>
      <w:r>
        <w:rPr>
          <w:spacing w:val="-2"/>
        </w:rPr>
        <w:t>,</w:t>
      </w:r>
      <w:r w:rsidRPr="00FE740F">
        <w:rPr>
          <w:spacing w:val="-2"/>
        </w:rPr>
        <w:t xml:space="preserve"> </w:t>
      </w:r>
      <w:r>
        <w:rPr>
          <w:spacing w:val="-2"/>
        </w:rPr>
        <w:t>0503177) должны содержать всю необход</w:t>
      </w:r>
      <w:r>
        <w:rPr>
          <w:spacing w:val="-2"/>
        </w:rPr>
        <w:t>и</w:t>
      </w:r>
      <w:r>
        <w:rPr>
          <w:spacing w:val="-2"/>
        </w:rPr>
        <w:t>мую информацию;</w:t>
      </w:r>
    </w:p>
    <w:p w:rsidR="00AA4083" w:rsidRDefault="00AA4083" w:rsidP="00AA4083">
      <w:pPr>
        <w:spacing w:before="60"/>
        <w:ind w:firstLine="567"/>
        <w:jc w:val="both"/>
        <w:rPr>
          <w:color w:val="000000"/>
          <w:spacing w:val="-2"/>
        </w:rPr>
      </w:pPr>
      <w:r>
        <w:rPr>
          <w:spacing w:val="-2"/>
        </w:rPr>
        <w:t>4</w:t>
      </w:r>
      <w:r w:rsidRPr="00F2033E">
        <w:rPr>
          <w:spacing w:val="-2"/>
        </w:rPr>
        <w:t xml:space="preserve">) </w:t>
      </w:r>
      <w:r w:rsidR="00CD5D43">
        <w:rPr>
          <w:spacing w:val="-2"/>
        </w:rPr>
        <w:t>уточнённые бюджетные назначения в годовом отчёте должны быть подтверждены р</w:t>
      </w:r>
      <w:r w:rsidR="00CD5D43">
        <w:rPr>
          <w:spacing w:val="-2"/>
        </w:rPr>
        <w:t>е</w:t>
      </w:r>
      <w:r w:rsidR="00CD5D43">
        <w:rPr>
          <w:spacing w:val="-2"/>
        </w:rPr>
        <w:t xml:space="preserve">шением о внесении изменений </w:t>
      </w:r>
      <w:r w:rsidR="00CD5D43" w:rsidRPr="00F2033E">
        <w:rPr>
          <w:color w:val="000000"/>
          <w:spacing w:val="-2"/>
        </w:rPr>
        <w:t>в</w:t>
      </w:r>
      <w:r w:rsidR="00CD5D43" w:rsidRPr="00F2033E">
        <w:rPr>
          <w:spacing w:val="-2"/>
        </w:rPr>
        <w:t xml:space="preserve"> решени</w:t>
      </w:r>
      <w:r w:rsidR="00CD5D43">
        <w:rPr>
          <w:spacing w:val="-2"/>
        </w:rPr>
        <w:t>е о</w:t>
      </w:r>
      <w:r w:rsidR="00CD5D43" w:rsidRPr="00F2033E">
        <w:rPr>
          <w:spacing w:val="-2"/>
        </w:rPr>
        <w:t xml:space="preserve"> бюджет</w:t>
      </w:r>
      <w:r w:rsidR="00CD5D43">
        <w:rPr>
          <w:spacing w:val="-2"/>
        </w:rPr>
        <w:t xml:space="preserve">е или должны быть </w:t>
      </w:r>
      <w:r w:rsidR="005A52CC">
        <w:rPr>
          <w:szCs w:val="28"/>
        </w:rPr>
        <w:t xml:space="preserve">указаны </w:t>
      </w:r>
      <w:r w:rsidR="00CD5D43">
        <w:rPr>
          <w:spacing w:val="-2"/>
        </w:rPr>
        <w:t>объективные причины несоответствию показателей</w:t>
      </w:r>
      <w:r>
        <w:rPr>
          <w:color w:val="000000"/>
          <w:spacing w:val="-2"/>
        </w:rPr>
        <w:t>;</w:t>
      </w:r>
    </w:p>
    <w:p w:rsidR="00247BD0" w:rsidRDefault="00247BD0" w:rsidP="00247BD0">
      <w:pPr>
        <w:spacing w:before="60"/>
        <w:ind w:firstLine="567"/>
        <w:jc w:val="both"/>
      </w:pPr>
      <w:r>
        <w:lastRenderedPageBreak/>
        <w:t>5</w:t>
      </w:r>
      <w:r w:rsidRPr="00796760">
        <w:t xml:space="preserve">) </w:t>
      </w:r>
      <w:r>
        <w:t>провести работу с дебиторской задолженностью, сложившейся на 01.01.2015 и неп</w:t>
      </w:r>
      <w:r>
        <w:t>о</w:t>
      </w:r>
      <w:r>
        <w:t>гашенной на 01.01.2016;</w:t>
      </w:r>
    </w:p>
    <w:p w:rsidR="00AA4083" w:rsidRDefault="00247BD0" w:rsidP="00AA4083">
      <w:pPr>
        <w:spacing w:before="60"/>
        <w:ind w:firstLine="567"/>
        <w:jc w:val="both"/>
        <w:rPr>
          <w:szCs w:val="28"/>
        </w:rPr>
      </w:pPr>
      <w:r>
        <w:t>6</w:t>
      </w:r>
      <w:r w:rsidR="00AA4083" w:rsidRPr="0029403D">
        <w:t>) при планировании и исполнении местного бюджета</w:t>
      </w:r>
      <w:r w:rsidR="00AA4083" w:rsidRPr="0029403D">
        <w:rPr>
          <w:szCs w:val="28"/>
        </w:rPr>
        <w:t xml:space="preserve"> лимиты на содержание </w:t>
      </w:r>
      <w:r w:rsidR="00AA4083">
        <w:rPr>
          <w:szCs w:val="28"/>
        </w:rPr>
        <w:t>главы поселения</w:t>
      </w:r>
      <w:r w:rsidR="00AA4083" w:rsidRPr="0029403D">
        <w:rPr>
          <w:szCs w:val="28"/>
        </w:rPr>
        <w:t xml:space="preserve"> должны соответствовать нормативам, установленным постановлением админ</w:t>
      </w:r>
      <w:r w:rsidR="00AA4083" w:rsidRPr="0029403D">
        <w:rPr>
          <w:szCs w:val="28"/>
        </w:rPr>
        <w:t>и</w:t>
      </w:r>
      <w:r w:rsidR="00AA4083" w:rsidRPr="0029403D">
        <w:rPr>
          <w:szCs w:val="28"/>
        </w:rPr>
        <w:t>страции Новосибирской</w:t>
      </w:r>
      <w:r w:rsidR="00AA4083">
        <w:rPr>
          <w:szCs w:val="28"/>
        </w:rPr>
        <w:t xml:space="preserve"> области от 28.12.2007 № 206-па, или должна быть </w:t>
      </w:r>
      <w:r w:rsidR="005A52CC">
        <w:rPr>
          <w:szCs w:val="28"/>
        </w:rPr>
        <w:t xml:space="preserve">указана </w:t>
      </w:r>
      <w:r w:rsidR="00AA4083">
        <w:rPr>
          <w:szCs w:val="28"/>
        </w:rPr>
        <w:t>объе</w:t>
      </w:r>
      <w:r w:rsidR="00AA4083">
        <w:rPr>
          <w:szCs w:val="28"/>
        </w:rPr>
        <w:t>к</w:t>
      </w:r>
      <w:r w:rsidR="00AA4083">
        <w:rPr>
          <w:szCs w:val="28"/>
        </w:rPr>
        <w:t>тивная причина превышению норматива;</w:t>
      </w:r>
    </w:p>
    <w:p w:rsidR="00AA4083" w:rsidRDefault="00247BD0" w:rsidP="00AA4083">
      <w:pPr>
        <w:spacing w:before="60"/>
        <w:ind w:firstLine="567"/>
        <w:jc w:val="both"/>
        <w:rPr>
          <w:szCs w:val="28"/>
        </w:rPr>
      </w:pPr>
      <w:r>
        <w:t>7</w:t>
      </w:r>
      <w:r w:rsidR="00AA4083" w:rsidRPr="0029403D">
        <w:t>) при исполнении местного бюджета</w:t>
      </w:r>
      <w:r w:rsidR="00AA4083" w:rsidRPr="0029403D">
        <w:rPr>
          <w:szCs w:val="28"/>
        </w:rPr>
        <w:t xml:space="preserve"> лимиты на содержание </w:t>
      </w:r>
      <w:r w:rsidR="00AA4083" w:rsidRPr="0017756B">
        <w:t>органов местного сам</w:t>
      </w:r>
      <w:r w:rsidR="00AA4083" w:rsidRPr="0017756B">
        <w:t>о</w:t>
      </w:r>
      <w:r w:rsidR="00AA4083" w:rsidRPr="0017756B">
        <w:t xml:space="preserve">управления </w:t>
      </w:r>
      <w:r w:rsidR="00AA4083" w:rsidRPr="0029403D">
        <w:rPr>
          <w:szCs w:val="28"/>
        </w:rPr>
        <w:t>должны соответствовать нормативам, установленным постановлением админ</w:t>
      </w:r>
      <w:r w:rsidR="00AA4083" w:rsidRPr="0029403D">
        <w:rPr>
          <w:szCs w:val="28"/>
        </w:rPr>
        <w:t>и</w:t>
      </w:r>
      <w:r w:rsidR="00AA4083" w:rsidRPr="0029403D">
        <w:rPr>
          <w:szCs w:val="28"/>
        </w:rPr>
        <w:t>страции Новосибирской</w:t>
      </w:r>
      <w:r w:rsidR="00AA4083">
        <w:rPr>
          <w:szCs w:val="28"/>
        </w:rPr>
        <w:t xml:space="preserve"> области от 28.12.2007 № 206-па, или должна быть </w:t>
      </w:r>
      <w:r w:rsidR="005A52CC">
        <w:rPr>
          <w:szCs w:val="28"/>
        </w:rPr>
        <w:t xml:space="preserve">указана </w:t>
      </w:r>
      <w:r w:rsidR="00AA4083">
        <w:rPr>
          <w:szCs w:val="28"/>
        </w:rPr>
        <w:t>объе</w:t>
      </w:r>
      <w:r w:rsidR="00AA4083">
        <w:rPr>
          <w:szCs w:val="28"/>
        </w:rPr>
        <w:t>к</w:t>
      </w:r>
      <w:r w:rsidR="00AA4083">
        <w:rPr>
          <w:szCs w:val="28"/>
        </w:rPr>
        <w:t>тивная причина превышению норматива;</w:t>
      </w:r>
    </w:p>
    <w:p w:rsidR="00AA4083" w:rsidRDefault="00247BD0" w:rsidP="00AA4083">
      <w:pPr>
        <w:spacing w:before="60"/>
        <w:ind w:firstLine="567"/>
        <w:jc w:val="both"/>
        <w:rPr>
          <w:szCs w:val="28"/>
        </w:rPr>
      </w:pPr>
      <w:r>
        <w:rPr>
          <w:szCs w:val="28"/>
        </w:rPr>
        <w:t>8</w:t>
      </w:r>
      <w:r w:rsidR="00AA4083">
        <w:rPr>
          <w:szCs w:val="28"/>
        </w:rPr>
        <w:t>) при планировании и использовании бюджетных ассигнований муниципального д</w:t>
      </w:r>
      <w:r w:rsidR="00AA4083">
        <w:rPr>
          <w:szCs w:val="28"/>
        </w:rPr>
        <w:t>о</w:t>
      </w:r>
      <w:r w:rsidR="00AA4083">
        <w:rPr>
          <w:szCs w:val="28"/>
        </w:rPr>
        <w:t>рожного фонда строго следовать пункту 5 статьи 179.4 БК РФ;</w:t>
      </w:r>
    </w:p>
    <w:p w:rsidR="00AA4083" w:rsidRDefault="00247BD0" w:rsidP="00AA4083">
      <w:pPr>
        <w:spacing w:before="60"/>
        <w:ind w:firstLine="567"/>
        <w:jc w:val="both"/>
        <w:rPr>
          <w:szCs w:val="28"/>
        </w:rPr>
      </w:pPr>
      <w:r>
        <w:rPr>
          <w:szCs w:val="28"/>
        </w:rPr>
        <w:t>9</w:t>
      </w:r>
      <w:r w:rsidR="00AA4083">
        <w:rPr>
          <w:szCs w:val="28"/>
        </w:rPr>
        <w:t>) при исполнении бюджета 2016 года увеличить бюджетные ассигнования муниц</w:t>
      </w:r>
      <w:r w:rsidR="00AA4083">
        <w:rPr>
          <w:szCs w:val="28"/>
        </w:rPr>
        <w:t>и</w:t>
      </w:r>
      <w:r w:rsidR="00AA4083">
        <w:rPr>
          <w:szCs w:val="28"/>
        </w:rPr>
        <w:t xml:space="preserve">пального дорожного фонда за счёт остатков 2015 года в объёме </w:t>
      </w:r>
      <w:r w:rsidR="007C40C1">
        <w:rPr>
          <w:szCs w:val="28"/>
        </w:rPr>
        <w:t xml:space="preserve">не менее </w:t>
      </w:r>
      <w:r w:rsidR="002171C1">
        <w:t>132,2</w:t>
      </w:r>
      <w:r w:rsidR="00AA4083">
        <w:t xml:space="preserve"> </w:t>
      </w:r>
      <w:r w:rsidR="00AA4083">
        <w:rPr>
          <w:szCs w:val="28"/>
        </w:rPr>
        <w:t>тыс. руб.</w:t>
      </w:r>
    </w:p>
    <w:p w:rsidR="006F10F8" w:rsidRPr="0029403D" w:rsidRDefault="006F10F8" w:rsidP="00F31032">
      <w:pPr>
        <w:spacing w:before="240"/>
        <w:ind w:firstLine="567"/>
        <w:jc w:val="both"/>
      </w:pPr>
      <w:r w:rsidRPr="00A82072">
        <w:rPr>
          <w:b/>
          <w:i/>
        </w:rPr>
        <w:t xml:space="preserve">Совету депутатов </w:t>
      </w:r>
      <w:r w:rsidRPr="006F10F8">
        <w:rPr>
          <w:b/>
          <w:i/>
        </w:rPr>
        <w:t xml:space="preserve">Верх-Каргатского </w:t>
      </w:r>
      <w:r w:rsidRPr="00F435AA">
        <w:rPr>
          <w:b/>
          <w:i/>
        </w:rPr>
        <w:t>сельсовета</w:t>
      </w:r>
      <w:r>
        <w:rPr>
          <w:b/>
          <w:i/>
        </w:rPr>
        <w:t>:</w:t>
      </w:r>
      <w:r w:rsidRPr="00C056D0">
        <w:t xml:space="preserve"> учесть изложенные в настоящем заключении замечания при рассмотрении отчёта об исполнении бюджета </w:t>
      </w:r>
      <w:r w:rsidRPr="0029403D">
        <w:t xml:space="preserve">Верх-Каргатского сельсовета Каргатского района Новосибирской области за </w:t>
      </w:r>
      <w:r w:rsidR="001043B8">
        <w:t>2015</w:t>
      </w:r>
      <w:r w:rsidRPr="0029403D">
        <w:t xml:space="preserve"> год.</w:t>
      </w:r>
    </w:p>
    <w:p w:rsidR="00AA4083" w:rsidRPr="0029403D" w:rsidRDefault="00AA4083" w:rsidP="00AA4083">
      <w:pPr>
        <w:spacing w:before="180"/>
        <w:ind w:firstLine="567"/>
        <w:jc w:val="both"/>
      </w:pPr>
      <w:r w:rsidRPr="0029403D">
        <w:t xml:space="preserve">Экспертное заключение направить </w:t>
      </w:r>
      <w:r>
        <w:t>в администрацию</w:t>
      </w:r>
      <w:r w:rsidRPr="0029403D">
        <w:t xml:space="preserve"> Верх-Каргатского сельсовета и Совет депутатов Верх-Каргатского сельсовета.</w:t>
      </w:r>
    </w:p>
    <w:p w:rsidR="00066440" w:rsidRPr="0029403D" w:rsidRDefault="00066440" w:rsidP="00066440"/>
    <w:p w:rsidR="00066440" w:rsidRDefault="00066440" w:rsidP="00066440"/>
    <w:p w:rsidR="00AA4083" w:rsidRPr="0029403D" w:rsidRDefault="00AA4083" w:rsidP="00066440"/>
    <w:p w:rsidR="00066440" w:rsidRDefault="00066440" w:rsidP="00066440"/>
    <w:p w:rsidR="00AA4083" w:rsidRPr="0029403D" w:rsidRDefault="00AA4083" w:rsidP="00066440"/>
    <w:p w:rsidR="0052345F" w:rsidRDefault="0052345F" w:rsidP="0052345F">
      <w:r>
        <w:t>Председатель</w:t>
      </w:r>
      <w:r w:rsidRPr="0029403D">
        <w:t xml:space="preserve"> </w:t>
      </w:r>
      <w:r w:rsidR="001164CD">
        <w:t>Р</w:t>
      </w:r>
      <w:r w:rsidRPr="0029403D">
        <w:t>евизионной комиссии</w:t>
      </w:r>
      <w:r>
        <w:tab/>
      </w:r>
      <w:r w:rsidR="001164CD">
        <w:tab/>
      </w:r>
      <w:r w:rsidRPr="0029403D">
        <w:tab/>
      </w:r>
      <w:r w:rsidRPr="0029403D">
        <w:tab/>
      </w:r>
      <w:r>
        <w:t>Т</w:t>
      </w:r>
      <w:r w:rsidRPr="0029403D">
        <w:t>.</w:t>
      </w:r>
      <w:r>
        <w:t>Г</w:t>
      </w:r>
      <w:r w:rsidRPr="0029403D">
        <w:t>.</w:t>
      </w:r>
      <w:r>
        <w:t xml:space="preserve"> Белоусова</w:t>
      </w:r>
      <w:r w:rsidRPr="0029403D">
        <w:tab/>
      </w:r>
    </w:p>
    <w:p w:rsidR="0052345F" w:rsidRDefault="0052345F" w:rsidP="0052345F">
      <w:pPr>
        <w:jc w:val="both"/>
      </w:pPr>
    </w:p>
    <w:p w:rsidR="0052345F" w:rsidRDefault="0052345F" w:rsidP="0052345F">
      <w:pPr>
        <w:jc w:val="both"/>
      </w:pPr>
    </w:p>
    <w:p w:rsidR="00AA4083" w:rsidRDefault="00AA4083" w:rsidP="0052345F">
      <w:pPr>
        <w:jc w:val="both"/>
      </w:pPr>
    </w:p>
    <w:p w:rsidR="0052345F" w:rsidRDefault="0052345F" w:rsidP="0052345F">
      <w:pPr>
        <w:jc w:val="both"/>
      </w:pPr>
    </w:p>
    <w:p w:rsidR="0027182F" w:rsidRPr="0029403D" w:rsidRDefault="0052345F" w:rsidP="0052345F">
      <w:r w:rsidRPr="0029403D">
        <w:t xml:space="preserve">Инспектор </w:t>
      </w:r>
      <w:r w:rsidR="001164CD">
        <w:t>Р</w:t>
      </w:r>
      <w:r w:rsidRPr="0029403D">
        <w:t>евизионной комиссии</w:t>
      </w:r>
      <w:r>
        <w:tab/>
      </w:r>
      <w:r>
        <w:tab/>
      </w:r>
      <w:r w:rsidR="001164CD">
        <w:tab/>
      </w:r>
      <w:r>
        <w:tab/>
      </w:r>
      <w:r>
        <w:tab/>
        <w:t>А.В. Довгучиц</w:t>
      </w:r>
    </w:p>
    <w:sectPr w:rsidR="0027182F" w:rsidRPr="0029403D" w:rsidSect="001B728A">
      <w:footerReference w:type="even" r:id="rId10"/>
      <w:footerReference w:type="default" r:id="rId11"/>
      <w:pgSz w:w="11906" w:h="16838" w:code="9"/>
      <w:pgMar w:top="794" w:right="851" w:bottom="79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AD" w:rsidRDefault="002F7BAD">
      <w:r>
        <w:separator/>
      </w:r>
    </w:p>
  </w:endnote>
  <w:endnote w:type="continuationSeparator" w:id="0">
    <w:p w:rsidR="002F7BAD" w:rsidRDefault="002F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6" w:rsidRDefault="00816546"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16546" w:rsidRDefault="00816546"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46" w:rsidRPr="00A27916" w:rsidRDefault="00816546" w:rsidP="00F85C4C">
    <w:pPr>
      <w:pStyle w:val="aa"/>
      <w:framePr w:wrap="around" w:vAnchor="text" w:hAnchor="margin" w:xAlign="right" w:y="1"/>
      <w:rPr>
        <w:rStyle w:val="ab"/>
        <w:sz w:val="20"/>
        <w:szCs w:val="20"/>
      </w:rPr>
    </w:pPr>
    <w:r w:rsidRPr="00A27916">
      <w:rPr>
        <w:rStyle w:val="ab"/>
        <w:sz w:val="20"/>
        <w:szCs w:val="20"/>
      </w:rPr>
      <w:fldChar w:fldCharType="begin"/>
    </w:r>
    <w:r w:rsidRPr="00A27916">
      <w:rPr>
        <w:rStyle w:val="ab"/>
        <w:sz w:val="20"/>
        <w:szCs w:val="20"/>
      </w:rPr>
      <w:instrText xml:space="preserve">PAGE  </w:instrText>
    </w:r>
    <w:r w:rsidRPr="00A27916">
      <w:rPr>
        <w:rStyle w:val="ab"/>
        <w:sz w:val="20"/>
        <w:szCs w:val="20"/>
      </w:rPr>
      <w:fldChar w:fldCharType="separate"/>
    </w:r>
    <w:r w:rsidR="006B4A09">
      <w:rPr>
        <w:rStyle w:val="ab"/>
        <w:noProof/>
        <w:sz w:val="20"/>
        <w:szCs w:val="20"/>
      </w:rPr>
      <w:t>7</w:t>
    </w:r>
    <w:r w:rsidRPr="00A27916">
      <w:rPr>
        <w:rStyle w:val="ab"/>
        <w:sz w:val="20"/>
        <w:szCs w:val="20"/>
      </w:rPr>
      <w:fldChar w:fldCharType="end"/>
    </w:r>
  </w:p>
  <w:p w:rsidR="00816546" w:rsidRDefault="00816546"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AD" w:rsidRDefault="002F7BAD">
      <w:r>
        <w:separator/>
      </w:r>
    </w:p>
  </w:footnote>
  <w:footnote w:type="continuationSeparator" w:id="0">
    <w:p w:rsidR="002F7BAD" w:rsidRDefault="002F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6055"/>
    <w:rsid w:val="00006951"/>
    <w:rsid w:val="00007639"/>
    <w:rsid w:val="00007D23"/>
    <w:rsid w:val="000213FE"/>
    <w:rsid w:val="00023CD6"/>
    <w:rsid w:val="000240FE"/>
    <w:rsid w:val="000246B2"/>
    <w:rsid w:val="0002517C"/>
    <w:rsid w:val="0002771C"/>
    <w:rsid w:val="000314E1"/>
    <w:rsid w:val="00034D0D"/>
    <w:rsid w:val="00034F90"/>
    <w:rsid w:val="000406FD"/>
    <w:rsid w:val="00045F67"/>
    <w:rsid w:val="00047E92"/>
    <w:rsid w:val="0005148C"/>
    <w:rsid w:val="00051747"/>
    <w:rsid w:val="00051DEF"/>
    <w:rsid w:val="00052A03"/>
    <w:rsid w:val="00055C17"/>
    <w:rsid w:val="000600C3"/>
    <w:rsid w:val="000601A7"/>
    <w:rsid w:val="000634AC"/>
    <w:rsid w:val="00063EEF"/>
    <w:rsid w:val="00066440"/>
    <w:rsid w:val="00067C9B"/>
    <w:rsid w:val="0007269A"/>
    <w:rsid w:val="00080C19"/>
    <w:rsid w:val="000824C0"/>
    <w:rsid w:val="000859BB"/>
    <w:rsid w:val="000951CD"/>
    <w:rsid w:val="00096F6C"/>
    <w:rsid w:val="000A3AC5"/>
    <w:rsid w:val="000A4A24"/>
    <w:rsid w:val="000A6332"/>
    <w:rsid w:val="000A68BE"/>
    <w:rsid w:val="000B35F1"/>
    <w:rsid w:val="000B406C"/>
    <w:rsid w:val="000B5AE1"/>
    <w:rsid w:val="000B77B0"/>
    <w:rsid w:val="000C0393"/>
    <w:rsid w:val="000C0B4C"/>
    <w:rsid w:val="000C20DD"/>
    <w:rsid w:val="000C3B65"/>
    <w:rsid w:val="000C488A"/>
    <w:rsid w:val="000D02F6"/>
    <w:rsid w:val="000D210C"/>
    <w:rsid w:val="000D277E"/>
    <w:rsid w:val="000D2817"/>
    <w:rsid w:val="000D49A4"/>
    <w:rsid w:val="000D61AF"/>
    <w:rsid w:val="000E591C"/>
    <w:rsid w:val="000E6EF2"/>
    <w:rsid w:val="000E7C2A"/>
    <w:rsid w:val="000F3980"/>
    <w:rsid w:val="000F4FA3"/>
    <w:rsid w:val="000F5294"/>
    <w:rsid w:val="000F5459"/>
    <w:rsid w:val="000F5990"/>
    <w:rsid w:val="000F62AF"/>
    <w:rsid w:val="00100F55"/>
    <w:rsid w:val="001043B8"/>
    <w:rsid w:val="00110488"/>
    <w:rsid w:val="001164CD"/>
    <w:rsid w:val="0012746B"/>
    <w:rsid w:val="001314D6"/>
    <w:rsid w:val="00131A73"/>
    <w:rsid w:val="001328F1"/>
    <w:rsid w:val="00135AAE"/>
    <w:rsid w:val="00140040"/>
    <w:rsid w:val="0014153F"/>
    <w:rsid w:val="001451DB"/>
    <w:rsid w:val="00145643"/>
    <w:rsid w:val="00147C9B"/>
    <w:rsid w:val="00152E13"/>
    <w:rsid w:val="00155162"/>
    <w:rsid w:val="001579B0"/>
    <w:rsid w:val="00157DDB"/>
    <w:rsid w:val="001608EB"/>
    <w:rsid w:val="00162034"/>
    <w:rsid w:val="0017023D"/>
    <w:rsid w:val="00170379"/>
    <w:rsid w:val="00174C19"/>
    <w:rsid w:val="001779AB"/>
    <w:rsid w:val="00182421"/>
    <w:rsid w:val="001875AD"/>
    <w:rsid w:val="001946F6"/>
    <w:rsid w:val="00196F7A"/>
    <w:rsid w:val="001A28AE"/>
    <w:rsid w:val="001A3493"/>
    <w:rsid w:val="001A43BD"/>
    <w:rsid w:val="001A53DE"/>
    <w:rsid w:val="001A6010"/>
    <w:rsid w:val="001A7B1A"/>
    <w:rsid w:val="001B728A"/>
    <w:rsid w:val="001C10E9"/>
    <w:rsid w:val="001C232C"/>
    <w:rsid w:val="001C7F05"/>
    <w:rsid w:val="001D0CF9"/>
    <w:rsid w:val="001D187A"/>
    <w:rsid w:val="001D1CE9"/>
    <w:rsid w:val="001D4FBB"/>
    <w:rsid w:val="001D6AAD"/>
    <w:rsid w:val="001E25D4"/>
    <w:rsid w:val="001E532B"/>
    <w:rsid w:val="001E60F9"/>
    <w:rsid w:val="001F0349"/>
    <w:rsid w:val="001F1C1B"/>
    <w:rsid w:val="001F25D1"/>
    <w:rsid w:val="001F604C"/>
    <w:rsid w:val="00200EDB"/>
    <w:rsid w:val="00205F33"/>
    <w:rsid w:val="00206364"/>
    <w:rsid w:val="00211503"/>
    <w:rsid w:val="00214D1D"/>
    <w:rsid w:val="00216D72"/>
    <w:rsid w:val="002171C1"/>
    <w:rsid w:val="00221C77"/>
    <w:rsid w:val="00221ECA"/>
    <w:rsid w:val="00222BC0"/>
    <w:rsid w:val="00223B7C"/>
    <w:rsid w:val="00224E0C"/>
    <w:rsid w:val="002272D4"/>
    <w:rsid w:val="0023071E"/>
    <w:rsid w:val="002308B9"/>
    <w:rsid w:val="002370BD"/>
    <w:rsid w:val="00247BD0"/>
    <w:rsid w:val="00254254"/>
    <w:rsid w:val="00254658"/>
    <w:rsid w:val="002619DE"/>
    <w:rsid w:val="00264072"/>
    <w:rsid w:val="0027182F"/>
    <w:rsid w:val="00273E3C"/>
    <w:rsid w:val="002741C2"/>
    <w:rsid w:val="00276E2C"/>
    <w:rsid w:val="00283C46"/>
    <w:rsid w:val="00287802"/>
    <w:rsid w:val="0029403D"/>
    <w:rsid w:val="00296D9A"/>
    <w:rsid w:val="00296F26"/>
    <w:rsid w:val="002A0122"/>
    <w:rsid w:val="002A2E49"/>
    <w:rsid w:val="002A65D6"/>
    <w:rsid w:val="002A68BE"/>
    <w:rsid w:val="002B068C"/>
    <w:rsid w:val="002B3142"/>
    <w:rsid w:val="002B5C7E"/>
    <w:rsid w:val="002B7D60"/>
    <w:rsid w:val="002C488D"/>
    <w:rsid w:val="002C7FCA"/>
    <w:rsid w:val="002D0BBE"/>
    <w:rsid w:val="002D0D37"/>
    <w:rsid w:val="002D11AF"/>
    <w:rsid w:val="002D1DA1"/>
    <w:rsid w:val="002D3343"/>
    <w:rsid w:val="002D44B1"/>
    <w:rsid w:val="002E13A6"/>
    <w:rsid w:val="002E2266"/>
    <w:rsid w:val="002E6F44"/>
    <w:rsid w:val="002F082B"/>
    <w:rsid w:val="002F4140"/>
    <w:rsid w:val="002F7BAD"/>
    <w:rsid w:val="00300F27"/>
    <w:rsid w:val="003030A1"/>
    <w:rsid w:val="00304BE4"/>
    <w:rsid w:val="003068E9"/>
    <w:rsid w:val="00310C27"/>
    <w:rsid w:val="00311A82"/>
    <w:rsid w:val="00312BE2"/>
    <w:rsid w:val="00317712"/>
    <w:rsid w:val="00320FC3"/>
    <w:rsid w:val="00324407"/>
    <w:rsid w:val="00325876"/>
    <w:rsid w:val="00327CF6"/>
    <w:rsid w:val="003362CB"/>
    <w:rsid w:val="003373DE"/>
    <w:rsid w:val="00350EC0"/>
    <w:rsid w:val="00351FFF"/>
    <w:rsid w:val="00356461"/>
    <w:rsid w:val="00356683"/>
    <w:rsid w:val="00356987"/>
    <w:rsid w:val="00361367"/>
    <w:rsid w:val="00361612"/>
    <w:rsid w:val="003620DB"/>
    <w:rsid w:val="003636C0"/>
    <w:rsid w:val="00363823"/>
    <w:rsid w:val="00366B98"/>
    <w:rsid w:val="00366DE5"/>
    <w:rsid w:val="0037449B"/>
    <w:rsid w:val="003744B4"/>
    <w:rsid w:val="00381832"/>
    <w:rsid w:val="00381CCE"/>
    <w:rsid w:val="003920B0"/>
    <w:rsid w:val="00392B28"/>
    <w:rsid w:val="00392C58"/>
    <w:rsid w:val="003A3D99"/>
    <w:rsid w:val="003A59EB"/>
    <w:rsid w:val="003A76FA"/>
    <w:rsid w:val="003B410A"/>
    <w:rsid w:val="003B4CCC"/>
    <w:rsid w:val="003B5A53"/>
    <w:rsid w:val="003C42EB"/>
    <w:rsid w:val="003C4BB2"/>
    <w:rsid w:val="003D1E30"/>
    <w:rsid w:val="003D272D"/>
    <w:rsid w:val="003D3C03"/>
    <w:rsid w:val="003D47F8"/>
    <w:rsid w:val="003F0DEE"/>
    <w:rsid w:val="004043F8"/>
    <w:rsid w:val="00407711"/>
    <w:rsid w:val="00412355"/>
    <w:rsid w:val="00414D50"/>
    <w:rsid w:val="00415FD7"/>
    <w:rsid w:val="0042046B"/>
    <w:rsid w:val="00420608"/>
    <w:rsid w:val="00422479"/>
    <w:rsid w:val="004238A2"/>
    <w:rsid w:val="00423DB1"/>
    <w:rsid w:val="004272D0"/>
    <w:rsid w:val="00430BDD"/>
    <w:rsid w:val="004319C8"/>
    <w:rsid w:val="004355E3"/>
    <w:rsid w:val="004429E5"/>
    <w:rsid w:val="00442B15"/>
    <w:rsid w:val="0044524C"/>
    <w:rsid w:val="004476A0"/>
    <w:rsid w:val="00453B4C"/>
    <w:rsid w:val="00455B75"/>
    <w:rsid w:val="00460744"/>
    <w:rsid w:val="0046205C"/>
    <w:rsid w:val="0046511F"/>
    <w:rsid w:val="00465B86"/>
    <w:rsid w:val="00466A12"/>
    <w:rsid w:val="00470418"/>
    <w:rsid w:val="0047168F"/>
    <w:rsid w:val="00471849"/>
    <w:rsid w:val="004760D4"/>
    <w:rsid w:val="00476590"/>
    <w:rsid w:val="004812A7"/>
    <w:rsid w:val="004836ED"/>
    <w:rsid w:val="0048743C"/>
    <w:rsid w:val="00494098"/>
    <w:rsid w:val="00496095"/>
    <w:rsid w:val="00496E96"/>
    <w:rsid w:val="004979B0"/>
    <w:rsid w:val="004A13B7"/>
    <w:rsid w:val="004A20AF"/>
    <w:rsid w:val="004A2148"/>
    <w:rsid w:val="004A4545"/>
    <w:rsid w:val="004A4FD0"/>
    <w:rsid w:val="004B282C"/>
    <w:rsid w:val="004B5095"/>
    <w:rsid w:val="004B570F"/>
    <w:rsid w:val="004B573E"/>
    <w:rsid w:val="004B6B0C"/>
    <w:rsid w:val="004C38CC"/>
    <w:rsid w:val="004C5150"/>
    <w:rsid w:val="004C6031"/>
    <w:rsid w:val="004D0D50"/>
    <w:rsid w:val="004D1828"/>
    <w:rsid w:val="004D1B14"/>
    <w:rsid w:val="004D1F2F"/>
    <w:rsid w:val="004D2A1F"/>
    <w:rsid w:val="004D2DBD"/>
    <w:rsid w:val="004D50C8"/>
    <w:rsid w:val="004E36E8"/>
    <w:rsid w:val="004E3D6E"/>
    <w:rsid w:val="004E3F18"/>
    <w:rsid w:val="004E47EE"/>
    <w:rsid w:val="004E7571"/>
    <w:rsid w:val="004E793D"/>
    <w:rsid w:val="004F2345"/>
    <w:rsid w:val="004F2E28"/>
    <w:rsid w:val="004F5C29"/>
    <w:rsid w:val="00506301"/>
    <w:rsid w:val="00517BBF"/>
    <w:rsid w:val="00521F30"/>
    <w:rsid w:val="005226CD"/>
    <w:rsid w:val="0052345F"/>
    <w:rsid w:val="00525DF3"/>
    <w:rsid w:val="00526FBD"/>
    <w:rsid w:val="0053416C"/>
    <w:rsid w:val="00534C44"/>
    <w:rsid w:val="005360E3"/>
    <w:rsid w:val="00536AA0"/>
    <w:rsid w:val="00536FE3"/>
    <w:rsid w:val="0054083C"/>
    <w:rsid w:val="005473AC"/>
    <w:rsid w:val="00551BA2"/>
    <w:rsid w:val="00551F5B"/>
    <w:rsid w:val="0055464B"/>
    <w:rsid w:val="00557770"/>
    <w:rsid w:val="0056008C"/>
    <w:rsid w:val="00565CBC"/>
    <w:rsid w:val="00574FF0"/>
    <w:rsid w:val="00575C45"/>
    <w:rsid w:val="00581EFA"/>
    <w:rsid w:val="00587794"/>
    <w:rsid w:val="005918A5"/>
    <w:rsid w:val="00592AB4"/>
    <w:rsid w:val="00594978"/>
    <w:rsid w:val="00596CD7"/>
    <w:rsid w:val="005A05F5"/>
    <w:rsid w:val="005A1015"/>
    <w:rsid w:val="005A1A14"/>
    <w:rsid w:val="005A4029"/>
    <w:rsid w:val="005A52CC"/>
    <w:rsid w:val="005A78A0"/>
    <w:rsid w:val="005B09AA"/>
    <w:rsid w:val="005B1BC3"/>
    <w:rsid w:val="005B50B8"/>
    <w:rsid w:val="005C0938"/>
    <w:rsid w:val="005C1C6D"/>
    <w:rsid w:val="005C2FA9"/>
    <w:rsid w:val="005C3DD6"/>
    <w:rsid w:val="005C52B7"/>
    <w:rsid w:val="005C52F0"/>
    <w:rsid w:val="005C59E2"/>
    <w:rsid w:val="005D3B0A"/>
    <w:rsid w:val="005D4F45"/>
    <w:rsid w:val="005E15EC"/>
    <w:rsid w:val="005E1BB9"/>
    <w:rsid w:val="005F0A41"/>
    <w:rsid w:val="005F3943"/>
    <w:rsid w:val="005F5499"/>
    <w:rsid w:val="005F5E0E"/>
    <w:rsid w:val="005F683C"/>
    <w:rsid w:val="005F6890"/>
    <w:rsid w:val="005F77F5"/>
    <w:rsid w:val="00602148"/>
    <w:rsid w:val="00602251"/>
    <w:rsid w:val="0060226F"/>
    <w:rsid w:val="00602668"/>
    <w:rsid w:val="00604E97"/>
    <w:rsid w:val="00605896"/>
    <w:rsid w:val="00605A32"/>
    <w:rsid w:val="00607E5A"/>
    <w:rsid w:val="00610F12"/>
    <w:rsid w:val="006112A0"/>
    <w:rsid w:val="006128B0"/>
    <w:rsid w:val="00614347"/>
    <w:rsid w:val="006148AA"/>
    <w:rsid w:val="0062131D"/>
    <w:rsid w:val="00623858"/>
    <w:rsid w:val="00624DC5"/>
    <w:rsid w:val="0062501F"/>
    <w:rsid w:val="006252CB"/>
    <w:rsid w:val="006366AE"/>
    <w:rsid w:val="0063708A"/>
    <w:rsid w:val="00641092"/>
    <w:rsid w:val="00645788"/>
    <w:rsid w:val="00646FDB"/>
    <w:rsid w:val="00651FD5"/>
    <w:rsid w:val="006546A7"/>
    <w:rsid w:val="006628FF"/>
    <w:rsid w:val="00665379"/>
    <w:rsid w:val="0067250F"/>
    <w:rsid w:val="00675ED5"/>
    <w:rsid w:val="006850A9"/>
    <w:rsid w:val="006852C7"/>
    <w:rsid w:val="00686437"/>
    <w:rsid w:val="0069004E"/>
    <w:rsid w:val="00691233"/>
    <w:rsid w:val="00695ACA"/>
    <w:rsid w:val="00695D6E"/>
    <w:rsid w:val="00696525"/>
    <w:rsid w:val="006A108C"/>
    <w:rsid w:val="006A165F"/>
    <w:rsid w:val="006A3008"/>
    <w:rsid w:val="006A699B"/>
    <w:rsid w:val="006A7730"/>
    <w:rsid w:val="006B0A32"/>
    <w:rsid w:val="006B1BFE"/>
    <w:rsid w:val="006B4A09"/>
    <w:rsid w:val="006B4C21"/>
    <w:rsid w:val="006C1D41"/>
    <w:rsid w:val="006C4A89"/>
    <w:rsid w:val="006D1A7E"/>
    <w:rsid w:val="006D68F8"/>
    <w:rsid w:val="006D76E9"/>
    <w:rsid w:val="006E08FF"/>
    <w:rsid w:val="006E7015"/>
    <w:rsid w:val="006E7516"/>
    <w:rsid w:val="006F10F8"/>
    <w:rsid w:val="007004A4"/>
    <w:rsid w:val="007026D6"/>
    <w:rsid w:val="00702B24"/>
    <w:rsid w:val="007076B9"/>
    <w:rsid w:val="00707B42"/>
    <w:rsid w:val="00713F54"/>
    <w:rsid w:val="00714DD7"/>
    <w:rsid w:val="00726D20"/>
    <w:rsid w:val="007318B6"/>
    <w:rsid w:val="007357AC"/>
    <w:rsid w:val="00737BE9"/>
    <w:rsid w:val="007420F7"/>
    <w:rsid w:val="00744B71"/>
    <w:rsid w:val="00753B3E"/>
    <w:rsid w:val="007566FC"/>
    <w:rsid w:val="00757126"/>
    <w:rsid w:val="00760CB3"/>
    <w:rsid w:val="00762686"/>
    <w:rsid w:val="00765A98"/>
    <w:rsid w:val="00767833"/>
    <w:rsid w:val="007764B7"/>
    <w:rsid w:val="00782AEC"/>
    <w:rsid w:val="00785922"/>
    <w:rsid w:val="007928A5"/>
    <w:rsid w:val="007965E5"/>
    <w:rsid w:val="007A004B"/>
    <w:rsid w:val="007A197D"/>
    <w:rsid w:val="007A3BFC"/>
    <w:rsid w:val="007A4162"/>
    <w:rsid w:val="007A6A9A"/>
    <w:rsid w:val="007B4426"/>
    <w:rsid w:val="007C1C8A"/>
    <w:rsid w:val="007C2789"/>
    <w:rsid w:val="007C40C1"/>
    <w:rsid w:val="007C6063"/>
    <w:rsid w:val="007C72A9"/>
    <w:rsid w:val="007C7802"/>
    <w:rsid w:val="007D19D5"/>
    <w:rsid w:val="007E5E19"/>
    <w:rsid w:val="007E73F3"/>
    <w:rsid w:val="007F2587"/>
    <w:rsid w:val="007F68F4"/>
    <w:rsid w:val="0080156C"/>
    <w:rsid w:val="00804797"/>
    <w:rsid w:val="00805716"/>
    <w:rsid w:val="008158EE"/>
    <w:rsid w:val="00816243"/>
    <w:rsid w:val="00816546"/>
    <w:rsid w:val="008234F3"/>
    <w:rsid w:val="00830D5F"/>
    <w:rsid w:val="0083334D"/>
    <w:rsid w:val="00836528"/>
    <w:rsid w:val="00841DFF"/>
    <w:rsid w:val="008429A2"/>
    <w:rsid w:val="0084747B"/>
    <w:rsid w:val="00851BED"/>
    <w:rsid w:val="00851CBE"/>
    <w:rsid w:val="00853AAE"/>
    <w:rsid w:val="008571E3"/>
    <w:rsid w:val="008608CA"/>
    <w:rsid w:val="00864494"/>
    <w:rsid w:val="00865043"/>
    <w:rsid w:val="00866CFE"/>
    <w:rsid w:val="00870234"/>
    <w:rsid w:val="0087125D"/>
    <w:rsid w:val="00872ABD"/>
    <w:rsid w:val="0087462A"/>
    <w:rsid w:val="00877B5F"/>
    <w:rsid w:val="00882C08"/>
    <w:rsid w:val="008864C8"/>
    <w:rsid w:val="00890527"/>
    <w:rsid w:val="00893936"/>
    <w:rsid w:val="00895174"/>
    <w:rsid w:val="00895CE6"/>
    <w:rsid w:val="008A03A4"/>
    <w:rsid w:val="008A3D94"/>
    <w:rsid w:val="008B0B9C"/>
    <w:rsid w:val="008B0FA6"/>
    <w:rsid w:val="008B5234"/>
    <w:rsid w:val="008B6FE6"/>
    <w:rsid w:val="008C19E7"/>
    <w:rsid w:val="008C285D"/>
    <w:rsid w:val="008C2D14"/>
    <w:rsid w:val="008C68A7"/>
    <w:rsid w:val="008D09B0"/>
    <w:rsid w:val="008D4119"/>
    <w:rsid w:val="008D4FEE"/>
    <w:rsid w:val="008D6159"/>
    <w:rsid w:val="008D6C6F"/>
    <w:rsid w:val="008E04C3"/>
    <w:rsid w:val="008E63F1"/>
    <w:rsid w:val="008E6DBC"/>
    <w:rsid w:val="008F66FB"/>
    <w:rsid w:val="00901537"/>
    <w:rsid w:val="00903FAD"/>
    <w:rsid w:val="009115D5"/>
    <w:rsid w:val="00917336"/>
    <w:rsid w:val="00923DA5"/>
    <w:rsid w:val="00925C41"/>
    <w:rsid w:val="0092613C"/>
    <w:rsid w:val="009262CF"/>
    <w:rsid w:val="00930724"/>
    <w:rsid w:val="00932F59"/>
    <w:rsid w:val="0095404A"/>
    <w:rsid w:val="009648CB"/>
    <w:rsid w:val="00971064"/>
    <w:rsid w:val="00972D8B"/>
    <w:rsid w:val="00984F08"/>
    <w:rsid w:val="009871D0"/>
    <w:rsid w:val="00995B0E"/>
    <w:rsid w:val="009979B1"/>
    <w:rsid w:val="009A285D"/>
    <w:rsid w:val="009A77F4"/>
    <w:rsid w:val="009A7F5C"/>
    <w:rsid w:val="009B7994"/>
    <w:rsid w:val="009C03FE"/>
    <w:rsid w:val="009C171C"/>
    <w:rsid w:val="009C219D"/>
    <w:rsid w:val="009C26E0"/>
    <w:rsid w:val="009C4093"/>
    <w:rsid w:val="009C5C3A"/>
    <w:rsid w:val="009C79DA"/>
    <w:rsid w:val="009D2376"/>
    <w:rsid w:val="009D4B76"/>
    <w:rsid w:val="009E2890"/>
    <w:rsid w:val="009E2F3D"/>
    <w:rsid w:val="009E2F53"/>
    <w:rsid w:val="009E4081"/>
    <w:rsid w:val="009E7783"/>
    <w:rsid w:val="009E7CBF"/>
    <w:rsid w:val="009F0D34"/>
    <w:rsid w:val="009F2B91"/>
    <w:rsid w:val="00A06AE6"/>
    <w:rsid w:val="00A110B0"/>
    <w:rsid w:val="00A14C3F"/>
    <w:rsid w:val="00A15C3D"/>
    <w:rsid w:val="00A17EE6"/>
    <w:rsid w:val="00A257BA"/>
    <w:rsid w:val="00A27916"/>
    <w:rsid w:val="00A32848"/>
    <w:rsid w:val="00A34285"/>
    <w:rsid w:val="00A3435B"/>
    <w:rsid w:val="00A34753"/>
    <w:rsid w:val="00A44A4C"/>
    <w:rsid w:val="00A457DF"/>
    <w:rsid w:val="00A46321"/>
    <w:rsid w:val="00A46E1E"/>
    <w:rsid w:val="00A52C49"/>
    <w:rsid w:val="00A534A7"/>
    <w:rsid w:val="00A5369C"/>
    <w:rsid w:val="00A56263"/>
    <w:rsid w:val="00A57E7A"/>
    <w:rsid w:val="00A60E94"/>
    <w:rsid w:val="00A61A07"/>
    <w:rsid w:val="00A70A0A"/>
    <w:rsid w:val="00A70C4E"/>
    <w:rsid w:val="00A70F4C"/>
    <w:rsid w:val="00A73D4A"/>
    <w:rsid w:val="00A74DE2"/>
    <w:rsid w:val="00A75D79"/>
    <w:rsid w:val="00A75F2B"/>
    <w:rsid w:val="00A85097"/>
    <w:rsid w:val="00A90786"/>
    <w:rsid w:val="00A915EB"/>
    <w:rsid w:val="00A91B93"/>
    <w:rsid w:val="00A92D91"/>
    <w:rsid w:val="00AA3147"/>
    <w:rsid w:val="00AA4083"/>
    <w:rsid w:val="00AA4629"/>
    <w:rsid w:val="00AA79EF"/>
    <w:rsid w:val="00AB269E"/>
    <w:rsid w:val="00AB5071"/>
    <w:rsid w:val="00AB68D4"/>
    <w:rsid w:val="00AB6B78"/>
    <w:rsid w:val="00AC00C1"/>
    <w:rsid w:val="00AC2F86"/>
    <w:rsid w:val="00AC6D71"/>
    <w:rsid w:val="00AD1302"/>
    <w:rsid w:val="00AD4941"/>
    <w:rsid w:val="00AD6F5E"/>
    <w:rsid w:val="00AF0473"/>
    <w:rsid w:val="00AF383A"/>
    <w:rsid w:val="00AF3E71"/>
    <w:rsid w:val="00AF6558"/>
    <w:rsid w:val="00B017C7"/>
    <w:rsid w:val="00B04DBC"/>
    <w:rsid w:val="00B07572"/>
    <w:rsid w:val="00B11ECA"/>
    <w:rsid w:val="00B1297E"/>
    <w:rsid w:val="00B1315D"/>
    <w:rsid w:val="00B13FD0"/>
    <w:rsid w:val="00B20862"/>
    <w:rsid w:val="00B24BC9"/>
    <w:rsid w:val="00B301BA"/>
    <w:rsid w:val="00B303B2"/>
    <w:rsid w:val="00B33C0B"/>
    <w:rsid w:val="00B3662C"/>
    <w:rsid w:val="00B4130C"/>
    <w:rsid w:val="00B41485"/>
    <w:rsid w:val="00B46470"/>
    <w:rsid w:val="00B47B0D"/>
    <w:rsid w:val="00B50588"/>
    <w:rsid w:val="00B53622"/>
    <w:rsid w:val="00B57390"/>
    <w:rsid w:val="00B626AD"/>
    <w:rsid w:val="00B62AAD"/>
    <w:rsid w:val="00B64001"/>
    <w:rsid w:val="00B75F0D"/>
    <w:rsid w:val="00B80AA4"/>
    <w:rsid w:val="00B83103"/>
    <w:rsid w:val="00B86300"/>
    <w:rsid w:val="00B86465"/>
    <w:rsid w:val="00B92B97"/>
    <w:rsid w:val="00B95059"/>
    <w:rsid w:val="00B95B5D"/>
    <w:rsid w:val="00BA0057"/>
    <w:rsid w:val="00BA03B2"/>
    <w:rsid w:val="00BA3B23"/>
    <w:rsid w:val="00BA70EE"/>
    <w:rsid w:val="00BA7231"/>
    <w:rsid w:val="00BB482B"/>
    <w:rsid w:val="00BB6432"/>
    <w:rsid w:val="00BB7E0B"/>
    <w:rsid w:val="00BC68CF"/>
    <w:rsid w:val="00BD3F00"/>
    <w:rsid w:val="00BD4B8A"/>
    <w:rsid w:val="00BD6D11"/>
    <w:rsid w:val="00BE046C"/>
    <w:rsid w:val="00BE1E25"/>
    <w:rsid w:val="00BE2D15"/>
    <w:rsid w:val="00BE2DD0"/>
    <w:rsid w:val="00BE79A4"/>
    <w:rsid w:val="00BE7D9D"/>
    <w:rsid w:val="00C02622"/>
    <w:rsid w:val="00C03531"/>
    <w:rsid w:val="00C03D08"/>
    <w:rsid w:val="00C1658D"/>
    <w:rsid w:val="00C16F35"/>
    <w:rsid w:val="00C218BA"/>
    <w:rsid w:val="00C26C73"/>
    <w:rsid w:val="00C31542"/>
    <w:rsid w:val="00C35E6F"/>
    <w:rsid w:val="00C3716F"/>
    <w:rsid w:val="00C473F5"/>
    <w:rsid w:val="00C476C9"/>
    <w:rsid w:val="00C62F03"/>
    <w:rsid w:val="00C647CB"/>
    <w:rsid w:val="00C666B4"/>
    <w:rsid w:val="00C712AC"/>
    <w:rsid w:val="00C72592"/>
    <w:rsid w:val="00C72D66"/>
    <w:rsid w:val="00C74345"/>
    <w:rsid w:val="00C800CC"/>
    <w:rsid w:val="00C81809"/>
    <w:rsid w:val="00C81B7B"/>
    <w:rsid w:val="00C81F0C"/>
    <w:rsid w:val="00C8605C"/>
    <w:rsid w:val="00C90539"/>
    <w:rsid w:val="00C92AEC"/>
    <w:rsid w:val="00CA485C"/>
    <w:rsid w:val="00CB0EA0"/>
    <w:rsid w:val="00CB1808"/>
    <w:rsid w:val="00CB6480"/>
    <w:rsid w:val="00CB6D47"/>
    <w:rsid w:val="00CB7F16"/>
    <w:rsid w:val="00CC009C"/>
    <w:rsid w:val="00CC34C9"/>
    <w:rsid w:val="00CD065C"/>
    <w:rsid w:val="00CD23F1"/>
    <w:rsid w:val="00CD31A5"/>
    <w:rsid w:val="00CD4484"/>
    <w:rsid w:val="00CD4EED"/>
    <w:rsid w:val="00CD5D43"/>
    <w:rsid w:val="00CE02C1"/>
    <w:rsid w:val="00CE1216"/>
    <w:rsid w:val="00CF57E7"/>
    <w:rsid w:val="00CF733D"/>
    <w:rsid w:val="00D00932"/>
    <w:rsid w:val="00D027BD"/>
    <w:rsid w:val="00D02A6A"/>
    <w:rsid w:val="00D06031"/>
    <w:rsid w:val="00D06838"/>
    <w:rsid w:val="00D40AFF"/>
    <w:rsid w:val="00D4425E"/>
    <w:rsid w:val="00D442E4"/>
    <w:rsid w:val="00D452D7"/>
    <w:rsid w:val="00D50AEE"/>
    <w:rsid w:val="00D50F7F"/>
    <w:rsid w:val="00D52352"/>
    <w:rsid w:val="00D56F2B"/>
    <w:rsid w:val="00D60C3B"/>
    <w:rsid w:val="00D7512C"/>
    <w:rsid w:val="00D77878"/>
    <w:rsid w:val="00D84D97"/>
    <w:rsid w:val="00D87519"/>
    <w:rsid w:val="00D903F4"/>
    <w:rsid w:val="00D912C8"/>
    <w:rsid w:val="00D912CC"/>
    <w:rsid w:val="00D96631"/>
    <w:rsid w:val="00DA0E87"/>
    <w:rsid w:val="00DA4FD1"/>
    <w:rsid w:val="00DA7B2D"/>
    <w:rsid w:val="00DB0036"/>
    <w:rsid w:val="00DB1053"/>
    <w:rsid w:val="00DB1081"/>
    <w:rsid w:val="00DB12F1"/>
    <w:rsid w:val="00DB1B65"/>
    <w:rsid w:val="00DB5C44"/>
    <w:rsid w:val="00DC1ABD"/>
    <w:rsid w:val="00DC2B4A"/>
    <w:rsid w:val="00DC49A6"/>
    <w:rsid w:val="00DD11C0"/>
    <w:rsid w:val="00DE100A"/>
    <w:rsid w:val="00DE4D3E"/>
    <w:rsid w:val="00DE7AA2"/>
    <w:rsid w:val="00DF177F"/>
    <w:rsid w:val="00DF2D23"/>
    <w:rsid w:val="00DF6171"/>
    <w:rsid w:val="00DF7510"/>
    <w:rsid w:val="00DF7855"/>
    <w:rsid w:val="00E015A0"/>
    <w:rsid w:val="00E04607"/>
    <w:rsid w:val="00E14A66"/>
    <w:rsid w:val="00E179AA"/>
    <w:rsid w:val="00E23B01"/>
    <w:rsid w:val="00E23C6A"/>
    <w:rsid w:val="00E2681F"/>
    <w:rsid w:val="00E26B33"/>
    <w:rsid w:val="00E26E06"/>
    <w:rsid w:val="00E3151E"/>
    <w:rsid w:val="00E3723F"/>
    <w:rsid w:val="00E41DFA"/>
    <w:rsid w:val="00E52D2C"/>
    <w:rsid w:val="00E5437B"/>
    <w:rsid w:val="00E54486"/>
    <w:rsid w:val="00E54779"/>
    <w:rsid w:val="00E548A7"/>
    <w:rsid w:val="00E56D6E"/>
    <w:rsid w:val="00E6093E"/>
    <w:rsid w:val="00E6095C"/>
    <w:rsid w:val="00E6236A"/>
    <w:rsid w:val="00E676E9"/>
    <w:rsid w:val="00E70F95"/>
    <w:rsid w:val="00E71961"/>
    <w:rsid w:val="00E75DB9"/>
    <w:rsid w:val="00E80293"/>
    <w:rsid w:val="00E8794A"/>
    <w:rsid w:val="00E957AE"/>
    <w:rsid w:val="00E96C9A"/>
    <w:rsid w:val="00EA02E5"/>
    <w:rsid w:val="00EA5A61"/>
    <w:rsid w:val="00EA7CB1"/>
    <w:rsid w:val="00EB36C7"/>
    <w:rsid w:val="00EB4679"/>
    <w:rsid w:val="00EC0AD0"/>
    <w:rsid w:val="00EC1127"/>
    <w:rsid w:val="00EC42FB"/>
    <w:rsid w:val="00EC4305"/>
    <w:rsid w:val="00EC53A4"/>
    <w:rsid w:val="00EC59F2"/>
    <w:rsid w:val="00EC6A46"/>
    <w:rsid w:val="00EC7C42"/>
    <w:rsid w:val="00ED1ED0"/>
    <w:rsid w:val="00ED23C5"/>
    <w:rsid w:val="00ED7696"/>
    <w:rsid w:val="00EE1703"/>
    <w:rsid w:val="00EE1D64"/>
    <w:rsid w:val="00EF52F9"/>
    <w:rsid w:val="00EF6694"/>
    <w:rsid w:val="00F01025"/>
    <w:rsid w:val="00F01C8A"/>
    <w:rsid w:val="00F058A9"/>
    <w:rsid w:val="00F06FF6"/>
    <w:rsid w:val="00F07B36"/>
    <w:rsid w:val="00F1282F"/>
    <w:rsid w:val="00F128D5"/>
    <w:rsid w:val="00F1605F"/>
    <w:rsid w:val="00F16D89"/>
    <w:rsid w:val="00F17157"/>
    <w:rsid w:val="00F17DC4"/>
    <w:rsid w:val="00F31032"/>
    <w:rsid w:val="00F34DB4"/>
    <w:rsid w:val="00F35C7B"/>
    <w:rsid w:val="00F36B05"/>
    <w:rsid w:val="00F407EA"/>
    <w:rsid w:val="00F40D32"/>
    <w:rsid w:val="00F41D2B"/>
    <w:rsid w:val="00F4463D"/>
    <w:rsid w:val="00F44B7F"/>
    <w:rsid w:val="00F52055"/>
    <w:rsid w:val="00F53BD0"/>
    <w:rsid w:val="00F551DE"/>
    <w:rsid w:val="00F57C56"/>
    <w:rsid w:val="00F66D86"/>
    <w:rsid w:val="00F730B2"/>
    <w:rsid w:val="00F7325E"/>
    <w:rsid w:val="00F73C0A"/>
    <w:rsid w:val="00F7638F"/>
    <w:rsid w:val="00F76687"/>
    <w:rsid w:val="00F80BAB"/>
    <w:rsid w:val="00F85C4C"/>
    <w:rsid w:val="00F86DFB"/>
    <w:rsid w:val="00F9129B"/>
    <w:rsid w:val="00FA012C"/>
    <w:rsid w:val="00FA4DBF"/>
    <w:rsid w:val="00FB0D17"/>
    <w:rsid w:val="00FB13C3"/>
    <w:rsid w:val="00FB385E"/>
    <w:rsid w:val="00FB73A8"/>
    <w:rsid w:val="00FC1E18"/>
    <w:rsid w:val="00FC5CD7"/>
    <w:rsid w:val="00FD4E45"/>
    <w:rsid w:val="00FD5391"/>
    <w:rsid w:val="00FD6C6E"/>
    <w:rsid w:val="00FE3A53"/>
    <w:rsid w:val="00FE3DE2"/>
    <w:rsid w:val="00FE52C5"/>
    <w:rsid w:val="00FE77CE"/>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9C219D"/>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paragraph" w:styleId="30">
    <w:name w:val="Body Text 3"/>
    <w:basedOn w:val="a"/>
    <w:link w:val="31"/>
    <w:rsid w:val="00214D1D"/>
    <w:pPr>
      <w:spacing w:after="120"/>
    </w:pPr>
    <w:rPr>
      <w:sz w:val="16"/>
      <w:szCs w:val="16"/>
    </w:rPr>
  </w:style>
  <w:style w:type="character" w:customStyle="1" w:styleId="31">
    <w:name w:val="Основной текст 3 Знак"/>
    <w:basedOn w:val="a0"/>
    <w:link w:val="30"/>
    <w:rsid w:val="00214D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9C219D"/>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paragraph" w:styleId="30">
    <w:name w:val="Body Text 3"/>
    <w:basedOn w:val="a"/>
    <w:link w:val="31"/>
    <w:rsid w:val="00214D1D"/>
    <w:pPr>
      <w:spacing w:after="120"/>
    </w:pPr>
    <w:rPr>
      <w:sz w:val="16"/>
      <w:szCs w:val="16"/>
    </w:rPr>
  </w:style>
  <w:style w:type="character" w:customStyle="1" w:styleId="31">
    <w:name w:val="Основной текст 3 Знак"/>
    <w:basedOn w:val="a0"/>
    <w:link w:val="30"/>
    <w:rsid w:val="00214D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2D0A8-0A3E-4B02-8024-EC49A14C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7</Pages>
  <Words>3157</Words>
  <Characters>18000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111</cp:revision>
  <cp:lastPrinted>2016-04-28T04:33:00Z</cp:lastPrinted>
  <dcterms:created xsi:type="dcterms:W3CDTF">2013-03-14T07:20:00Z</dcterms:created>
  <dcterms:modified xsi:type="dcterms:W3CDTF">2016-04-28T04:33:00Z</dcterms:modified>
</cp:coreProperties>
</file>